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Hogyan csatlakozhat a Transparency4Safety kezdeményezéshez</w:t>
      </w:r>
    </w:p>
    <w:p>
      <w:pPr>
        <w:spacing w:after="120"/>
      </w:pPr>
      <w:r>
        <w:rPr>
          <w:rFonts w:ascii="Arial" w:hAnsi="Arial"/>
          <w:b/>
          <w:sz w:val="20"/>
        </w:rPr>
        <w:t>1. Nyissa meg az EMA kapcsolati űrlapját:</w:t>
        <w:br/>
      </w:r>
      <w:r>
        <w:rPr>
          <w:rFonts w:ascii="Arial" w:hAnsi="Arial"/>
          <w:sz w:val="20"/>
          <w:u w:val="single"/>
        </w:rPr>
        <w:t>https://www.ema.europa.eu/en/about-us/contacts-european-medicines-agency/send-question-european-medicines-agency</w:t>
      </w:r>
    </w:p>
    <w:p>
      <w:pPr>
        <w:spacing w:after="80"/>
      </w:pPr>
      <w:r>
        <w:rPr>
          <w:rFonts w:ascii="Arial" w:hAnsi="Arial"/>
          <w:sz w:val="20"/>
        </w:rPr>
        <w:t>2. Töltse ki az űrlapot így: válassza a Consumer → I want an unpublished document kategóriát.</w:t>
      </w:r>
    </w:p>
    <w:p>
      <w:pPr>
        <w:spacing w:after="80"/>
      </w:pPr>
      <w:r>
        <w:rPr>
          <w:rFonts w:ascii="Arial" w:hAnsi="Arial"/>
          <w:sz w:val="20"/>
        </w:rPr>
        <w:t>3. Másolja be a kérelem szövegét angolul vagy az Ön által választott nyelven.</w:t>
      </w:r>
    </w:p>
    <w:p>
      <w:pPr>
        <w:spacing w:after="80"/>
      </w:pPr>
      <w:r>
        <w:rPr>
          <w:rFonts w:ascii="Arial" w:hAnsi="Arial"/>
          <w:sz w:val="20"/>
        </w:rPr>
        <w:t>4. A beküldés után várja meg az EMA visszaigazoló e-mailjét, és gondosan őrizze meg az ASK-számot. Csak akkor csatlakozzon, ha valóban hosszabb távon szeretné követni az ügyet. Az EMA eljárásai nagyon lassúak lehetnek; őrizze meg az ASK-számot, és figyelje a beérkező és spam mappát.</w:t>
      </w:r>
    </w:p>
    <w:p>
      <w:pPr>
        <w:spacing w:after="120"/>
      </w:pPr>
      <w:r>
        <w:rPr>
          <w:rFonts w:ascii="Arial" w:hAnsi="Arial"/>
          <w:b/>
          <w:sz w:val="20"/>
        </w:rPr>
        <w:t>5. Iratkozzon fel, hogy tájékozott maradjon és további frissítéseket, valamint szakértői nyílt leveleket kapjon:</w:t>
        <w:br/>
      </w:r>
      <w:r>
        <w:rPr>
          <w:rFonts w:ascii="Arial" w:hAnsi="Arial"/>
          <w:sz w:val="20"/>
          <w:u w:val="single"/>
        </w:rPr>
        <w:t>https://transparency4safety.substack.com/</w:t>
      </w:r>
    </w:p>
    <w:p/>
    <w:p>
      <w:pPr>
        <w:pStyle w:val="Heading1"/>
      </w:pPr>
      <w:r>
        <w:t>A kérelem szövege az Ön nyelvén</w:t>
      </w:r>
    </w:p>
    <w:p>
      <w:pPr>
        <w:spacing w:after="80"/>
      </w:pPr>
      <w:r>
        <w:rPr>
          <w:rFonts w:ascii="Arial" w:hAnsi="Arial"/>
          <w:b/>
          <w:sz w:val="20"/>
        </w:rPr>
        <w:t>Uniós polgári kérelem – Transparency4Safety</w:t>
      </w:r>
    </w:p>
    <w:p>
      <w:pPr>
        <w:spacing w:after="80"/>
      </w:pPr>
      <w:r>
        <w:rPr>
          <w:rFonts w:ascii="Arial" w:hAnsi="Arial"/>
          <w:sz w:val="20"/>
        </w:rPr>
        <w:t>Tisztelt Hölgyem/Uram!</w:t>
      </w:r>
    </w:p>
    <w:p>
      <w:pPr>
        <w:spacing w:after="80"/>
      </w:pPr>
      <w:r>
        <w:rPr>
          <w:rFonts w:ascii="Arial" w:hAnsi="Arial"/>
          <w:sz w:val="20"/>
        </w:rPr>
        <w:t>a Transparency4Safety kezdeményezés keretében, az 1049/2001/EK rendelet alapján kérem a Comirnaty és a Spikevax valamennyi lényeges forgalombahozatali engedélyezési adatának teljes és kitakarások nélküli nyilvánosságra hozatalát, valamint adott esetben további mRNA-engedélyezési adatok nyilvánosságra hozatalát annak érdekében, hogy független tudományos újraértékelés váljon lehetővé.</w:t>
      </w:r>
    </w:p>
    <w:p>
      <w:pPr>
        <w:spacing w:after="80"/>
      </w:pPr>
      <w:r>
        <w:rPr>
          <w:rFonts w:ascii="Arial" w:hAnsi="Arial"/>
          <w:sz w:val="20"/>
        </w:rPr>
        <w:t>A nyilvánosságra hozatalhoz nyomós közérdek fűződik, mert az mRNA-LNP technológia minőségére, biztonságára és ellenőrzésére vonatkozó nem megfelelő követelmények lehetséges egészségkárosodáshoz vezethetnek. Ezeket a termékeket milliószor alkalmazták egészséges embereknél és különösen sérülékeny csoportoknál. Ezért teljes mértékben ellenőrizhetőnek kell lennie, hogy az EMA engedélyezési követelményei a hatásmechanizmus, minőség, biztonság, ellenőrzés és hosszú távú következmények tekintetében elegendőek-e.</w:t>
      </w:r>
    </w:p>
    <w:p>
      <w:pPr>
        <w:spacing w:after="80"/>
      </w:pPr>
      <w:r>
        <w:rPr>
          <w:rFonts w:ascii="Arial" w:hAnsi="Arial"/>
          <w:sz w:val="20"/>
        </w:rPr>
        <w:t>Ezért kérem:</w:t>
      </w:r>
    </w:p>
    <w:p>
      <w:pPr>
        <w:spacing w:after="80"/>
      </w:pPr>
      <w:r>
        <w:rPr>
          <w:rFonts w:ascii="Arial" w:hAnsi="Arial"/>
          <w:b/>
          <w:sz w:val="20"/>
        </w:rPr>
        <w:t>1. Teljes nyilvánosságra hozatal</w:t>
      </w:r>
    </w:p>
    <w:p>
      <w:pPr>
        <w:spacing w:after="80"/>
      </w:pPr>
      <w:r>
        <w:rPr>
          <w:rFonts w:ascii="Arial" w:hAnsi="Arial"/>
          <w:sz w:val="20"/>
        </w:rPr>
        <w:t>Kérem, hogy az EMA teljes egészében és kitakarások nélkül hozza nyilvánosságra a Common Technical Document (CTD) valamennyi engedélyezési dokumentumát, beleértve az összes verziót, valamint a gyártásra, minőség-ellenőrzésre, tételvizsgálatra, maradék DNS-re, RNS-minőségre, szennyeződésekre, biodisztribúcióra, továbbá nem klinikai és klinikai biztonságosságra vonatkozó egyéb releváns dokumentumokat tudományos ellenőrzés céljából.</w:t>
      </w:r>
    </w:p>
    <w:p>
      <w:pPr>
        <w:spacing w:after="80"/>
      </w:pPr>
      <w:r>
        <w:rPr>
          <w:rFonts w:ascii="Arial" w:hAnsi="Arial"/>
          <w:b/>
          <w:sz w:val="20"/>
        </w:rPr>
        <w:t>2. Független újraértékelés</w:t>
      </w:r>
    </w:p>
    <w:p>
      <w:pPr>
        <w:spacing w:after="80"/>
      </w:pPr>
      <w:r>
        <w:rPr>
          <w:rFonts w:ascii="Arial" w:hAnsi="Arial"/>
          <w:sz w:val="20"/>
        </w:rPr>
        <w:t>Kérem, hogy a Comirnaty és a Spikevax, valamint más fertőző betegségek elleni mRNA-LNP termékek nyilvánosan és átláthatóan, független, gyógyszeripari befolyástól mentes szakértők által kerüljenek tudományos és szabályozási újraértékelésre, a lehető legmagasabb szintű egészségvédelem érdekében. Az újraértékelés alapja a teljesen nyilvánosságra hozott dokumentáció, a tudomány jelenlegi állása, az elővigyázatosság elve és az uniós jog által megkövetelt magas szintű egészségvédelem legyen.</w:t>
      </w:r>
    </w:p>
    <w:p>
      <w:pPr>
        <w:spacing w:after="80"/>
      </w:pPr>
      <w:r>
        <w:rPr>
          <w:rFonts w:ascii="Arial" w:hAnsi="Arial"/>
          <w:b/>
          <w:sz w:val="20"/>
        </w:rPr>
        <w:t>3. Magasabb védelmi standard</w:t>
      </w:r>
    </w:p>
    <w:p>
      <w:pPr>
        <w:spacing w:after="80"/>
      </w:pPr>
      <w:r>
        <w:rPr>
          <w:rFonts w:ascii="Arial" w:hAnsi="Arial"/>
          <w:sz w:val="20"/>
        </w:rPr>
        <w:t>Kérem továbbá, hogy minden meglévő és jövőbeli, fertőző betegségek elleni mRNA-engedélyre a legmagasabb védelmi standard vonatkozzon, különösen a maradék DNS, a tételminőség, a biodisztribúció, a hosszú távú biztonságosság és a technológiához kapcsolódó kockázatok tekintetében. Kérem mindazon dokumentumok nyilvánosságra hozatalát, amelyekből kiderül, miért nem alkalmazták az mRNA-LNP vakcinákra ugyanazokat a szigorú védelmi, vizsgálati és ellenőrzési standardokat, mint a hasonló nukleinsav-alapú vagy génterápiával kapcsolatos gyógyszerekre.</w:t>
      </w:r>
    </w:p>
    <w:p>
      <w:pPr>
        <w:spacing w:after="80"/>
      </w:pPr>
      <w:r>
        <w:rPr>
          <w:rFonts w:ascii="Arial" w:hAnsi="Arial"/>
          <w:b/>
          <w:sz w:val="20"/>
        </w:rPr>
        <w:t>4. 20. cikk szerinti eljárás és azonnali felfüggesztés</w:t>
      </w:r>
    </w:p>
    <w:p>
      <w:pPr>
        <w:spacing w:after="80"/>
      </w:pPr>
      <w:r>
        <w:rPr>
          <w:rFonts w:ascii="Arial" w:hAnsi="Arial"/>
          <w:sz w:val="20"/>
        </w:rPr>
        <w:t>Kérem, hogy az EMA haladéktalanul indítson eljárást a 726/2004/EK rendelet 20. cikke alapján a Comirnaty és a Spikevax, valamint a hasonló, fertőző betegségek elleni mRNA-LNP termékek alkalmazásának azonnali felfüggesztésére. Ezt az elővigyázatosság elvének alkalmazásával kell eldönteni mindaddig, amíg e termékek valamennyi biztonságossági szempontja kellően tisztázott nem lesz. Ha nem indul meg valamennyi mRNA-engedély azonnali felfüggesztése, kérem mindazon dokumentumok nyilvánosságra hozatalát, amelyekből kiderül, miért mondtak le erről. Ide tartoznak például az Európai Bizottságnak küldött jelentések, belső értékelések, vélemények, döntések és a Bizottság és az EMA közötti e-mailek.</w:t>
      </w:r>
    </w:p>
    <w:p>
      <w:pPr>
        <w:spacing w:after="80"/>
      </w:pPr>
      <w:r>
        <w:rPr>
          <w:rFonts w:ascii="Arial" w:hAnsi="Arial"/>
          <w:b/>
          <w:sz w:val="20"/>
        </w:rPr>
        <w:t>5. Nyilvános meghallgatás</w:t>
      </w:r>
    </w:p>
    <w:p>
      <w:pPr>
        <w:spacing w:after="80"/>
      </w:pPr>
      <w:r>
        <w:rPr>
          <w:rFonts w:ascii="Arial" w:hAnsi="Arial"/>
          <w:b/>
          <w:sz w:val="20"/>
        </w:rPr>
        <w:t>6. Nyilvánosan hozzáférhető adatbázis</w:t>
      </w:r>
    </w:p>
    <w:p>
      <w:pPr>
        <w:spacing w:after="80"/>
      </w:pPr>
      <w:r>
        <w:rPr>
          <w:rFonts w:ascii="Arial" w:hAnsi="Arial"/>
          <w:sz w:val="20"/>
        </w:rPr>
        <w:t>Kérem, hogy az 1049/2001/EK rendelet szerinti valamennyi jogomat tartsák tiszteletben, és minden nyilvánosságra hozott dokumentumot, beleértve a más kérelmek alapján kiadott dokumentumokat is, tegyenek elérhetővé minden uniós polgár számára egy nyilvánosan hozzáférhető adatbázisban, ahogyan azt az EMA már jelezte.</w:t>
      </w:r>
    </w:p>
    <w:p>
      <w:pPr>
        <w:spacing w:after="80"/>
      </w:pPr>
      <w:r>
        <w:rPr>
          <w:rFonts w:ascii="Arial" w:hAnsi="Arial"/>
          <w:sz w:val="20"/>
        </w:rPr>
        <w:t>Kérem, hogy az EMA időben hívjon össze meghallgatást független, gyógyszeripari befolyástól mentes szakértőkkel, az EMA-val és az illetékes bizottságokkal. A Transparency4Safety kezdeményezés keretében biztosítani kell az online részvételt. A meghallgatásnak átláthatóan kell feldolgoznia az e kezdeményezésben felvetett biztonsági és minőségi kérdéseket.</w:t>
      </w:r>
    </w:p>
    <w:p>
      <w:pPr>
        <w:spacing w:after="80"/>
      </w:pPr>
      <w:r>
        <w:rPr>
          <w:rFonts w:ascii="Arial" w:hAnsi="Arial"/>
          <w:sz w:val="20"/>
        </w:rPr>
        <w:t>Ez a kérelem a közegészség védelmét, az elővigyázatosság elvét, a demokratikus ellenőrzést és az uniós polgárok átláthatósághoz való jogát szolgálja.</w:t>
      </w:r>
    </w:p>
    <w:p>
      <w:pPr>
        <w:spacing w:after="80"/>
      </w:pPr>
      <w:r>
        <w:rPr>
          <w:rFonts w:ascii="Arial" w:hAnsi="Arial"/>
          <w:sz w:val="20"/>
        </w:rPr>
        <w:t>Tisztelettel,</w:t>
        <w:br/>
        <w:t>[Név]</w:t>
      </w:r>
    </w:p>
    <w:p>
      <w:pPr>
        <w:spacing w:after="80"/>
      </w:pPr>
      <w:r>
        <w:rPr>
          <w:rFonts w:ascii="Arial" w:hAnsi="Arial"/>
          <w:sz w:val="20"/>
        </w:rPr>
        <w:t>Útmutató</w:t>
      </w:r>
    </w:p>
    <w:p>
      <w:r>
        <w:br w:type="page"/>
      </w:r>
    </w:p>
    <w:p>
      <w:pPr>
        <w:pStyle w:val="Heading1"/>
      </w:pPr>
      <w:r>
        <w:t>Original English text</w:t>
      </w:r>
    </w:p>
    <w:p>
      <w:pPr>
        <w:spacing w:after="80"/>
      </w:pPr>
      <w:r>
        <w:rPr>
          <w:rFonts w:ascii="Arial" w:hAnsi="Arial"/>
          <w:b/>
          <w:sz w:val="20"/>
        </w:rPr>
        <w:t>EU Citizen Request – Transparency4Safety</w:t>
      </w:r>
    </w:p>
    <w:p>
      <w:pPr>
        <w:spacing w:after="80"/>
      </w:pPr>
      <w:r>
        <w:rPr>
          <w:rFonts w:ascii="Arial" w:hAnsi="Arial"/>
          <w:sz w:val="20"/>
        </w:rPr>
        <w:t>Within the framework of the Transparency4Safety (T4S) Initiative ongoing since February 2025, I request, pursuant to Regulation (EC) No 1049/2001, the full and unredacted disclosure of all essential marketing-authorisation data concerning Comirnaty and Spikevax, and, where applicable, further mRNA authorisation data, in order to enable an independent scientific reassessment.</w:t>
      </w:r>
    </w:p>
    <w:p>
      <w:pPr>
        <w:spacing w:after="80"/>
      </w:pPr>
      <w:r>
        <w:rPr>
          <w:rFonts w:ascii="Arial" w:hAnsi="Arial"/>
          <w:sz w:val="20"/>
        </w:rPr>
        <w:t>There is an overriding public interest in disclosure, because possible health harms may have been caused by an insufficient regulatory assessment of the mRNA-LNP technology, including quality, safety and control requirements. I therefore request:</w:t>
      </w:r>
    </w:p>
    <w:p>
      <w:pPr>
        <w:spacing w:after="80"/>
      </w:pPr>
      <w:r>
        <w:rPr>
          <w:rFonts w:ascii="Arial" w:hAnsi="Arial"/>
          <w:b/>
          <w:sz w:val="20"/>
        </w:rPr>
        <w:t>Full disclosure</w:t>
      </w:r>
    </w:p>
    <w:p>
      <w:pPr>
        <w:spacing w:after="80"/>
      </w:pPr>
      <w:r>
        <w:rPr>
          <w:rFonts w:ascii="Arial" w:hAnsi="Arial"/>
          <w:sz w:val="20"/>
        </w:rPr>
        <w:t>I request that EMA immediately disclose, in full and without redactions, all authorisation documents of the Common Technical Document (CTD), including all versions, for scientific review, as well as further relevant documents concerning manufacturing, quality control, batch testing, residual DNA, RNA quality, impurities, biodistribution, and non-clinical and clinical safety.</w:t>
      </w:r>
    </w:p>
    <w:p>
      <w:pPr>
        <w:spacing w:after="80"/>
      </w:pPr>
      <w:r>
        <w:rPr>
          <w:rFonts w:ascii="Arial" w:hAnsi="Arial"/>
          <w:b/>
          <w:sz w:val="20"/>
        </w:rPr>
        <w:t>Independent reassessment</w:t>
      </w:r>
    </w:p>
    <w:p>
      <w:pPr>
        <w:spacing w:after="80"/>
      </w:pPr>
      <w:r>
        <w:rPr>
          <w:rFonts w:ascii="Arial" w:hAnsi="Arial"/>
          <w:sz w:val="20"/>
        </w:rPr>
        <w:t>I request that Comirnaty and Spikevax, as well as other mRNA-LNP products against infectious diseases, be publicly and transparently reassessed scientifically and regulatorily by independent experts free from pharmaceutical-industry influence, with a view to the highest possible protection of health. The reassessment must be based on the fully disclosed documents, the current state of science, the precautionary principle and the high level of health protection required under Union law. The expert letters submitted to EMA within the T4S Initiative must form an essential basis for this reassessment.</w:t>
      </w:r>
    </w:p>
    <w:p>
      <w:pPr>
        <w:spacing w:after="80"/>
      </w:pPr>
      <w:r>
        <w:rPr>
          <w:rFonts w:ascii="Arial" w:hAnsi="Arial"/>
          <w:b/>
          <w:sz w:val="20"/>
        </w:rPr>
        <w:t>Highest health standard</w:t>
      </w:r>
    </w:p>
    <w:p>
      <w:pPr>
        <w:spacing w:after="80"/>
      </w:pPr>
      <w:r>
        <w:rPr>
          <w:rFonts w:ascii="Arial" w:hAnsi="Arial"/>
          <w:sz w:val="20"/>
        </w:rPr>
        <w:t>I further request that the highest health-protection standard apply to all existing and future mRNA authorisations against infectious diseases, in particular with regard to residual DNA, batch quality, biodistribution, long-term safety and technology-related risks. I request disclosure of all documents showing why the same strict protection, testing and control standards were not applied to mRNA-LNP vaccines against infectious diseases as to comparable nucleic-acid-based or gene-therapy-relevant medicinal products.</w:t>
      </w:r>
    </w:p>
    <w:p>
      <w:pPr>
        <w:spacing w:after="80"/>
      </w:pPr>
      <w:r>
        <w:rPr>
          <w:rFonts w:ascii="Arial" w:hAnsi="Arial"/>
          <w:b/>
          <w:sz w:val="20"/>
        </w:rPr>
        <w:t>Article 20 procedure and immediate suspension</w:t>
      </w:r>
    </w:p>
    <w:p>
      <w:pPr>
        <w:spacing w:after="80"/>
      </w:pPr>
      <w:r>
        <w:rPr>
          <w:rFonts w:ascii="Arial" w:hAnsi="Arial"/>
          <w:sz w:val="20"/>
        </w:rPr>
        <w:t>I request that EMA immediately initiate a procedure under Article 20 of Regulation (EC) No 726/2004 for the immediate suspension of the use of Comirnaty and Spikevax, as well as comparable mRNA-LNP products against infectious diseases, applying the precautionary principle in order to enable an independent reassessment of these products. If no immediate suspension of all mRNA authorisations is initiated, I request disclosure of all documents showing why this was not done, including reports to the European Commission, internal assessments, opinions, decisions and emails between the Commission and EMA.</w:t>
      </w:r>
    </w:p>
    <w:p>
      <w:pPr>
        <w:spacing w:after="80"/>
      </w:pPr>
      <w:r>
        <w:rPr>
          <w:rFonts w:ascii="Arial" w:hAnsi="Arial"/>
          <w:b/>
          <w:sz w:val="20"/>
        </w:rPr>
        <w:t>Public hearing</w:t>
      </w:r>
    </w:p>
    <w:p>
      <w:pPr>
        <w:spacing w:after="80"/>
      </w:pPr>
      <w:r>
        <w:rPr>
          <w:rFonts w:ascii="Arial" w:hAnsi="Arial"/>
          <w:sz w:val="20"/>
        </w:rPr>
        <w:t>I request that EMA convene a timely hearing with independent experts free from pharmaceutical-industry influence, EMA and the competent committees, allowing online participation within the Transparency4Safety Initiative, and transparently addressing the safety and quality questions raised by this initiative.</w:t>
      </w:r>
    </w:p>
    <w:p>
      <w:pPr>
        <w:spacing w:after="80"/>
      </w:pPr>
      <w:r>
        <w:rPr>
          <w:rFonts w:ascii="Arial" w:hAnsi="Arial"/>
          <w:b/>
          <w:sz w:val="20"/>
        </w:rPr>
        <w:t>Publicly accessible database</w:t>
      </w:r>
    </w:p>
    <w:p>
      <w:pPr>
        <w:spacing w:after="80"/>
      </w:pPr>
      <w:r>
        <w:rPr>
          <w:rFonts w:ascii="Arial" w:hAnsi="Arial"/>
          <w:sz w:val="20"/>
        </w:rPr>
        <w:t>I request that all my rights under Regulation (EC) No 1049/2001 be respected and that all disclosed documents, including documents disclosed in response to other requests, be made available to all EU citizens in a publicly accessible database, as EMA has already envisaged.</w:t>
      </w:r>
    </w:p>
    <w:p>
      <w:pPr>
        <w:spacing w:after="80"/>
      </w:pPr>
      <w:r>
        <w:rPr>
          <w:rFonts w:ascii="Arial" w:hAnsi="Arial"/>
          <w:sz w:val="20"/>
        </w:rPr>
        <w:t>This request serves the protection of public health, the precautionary principle, democratic oversight and the right of EU citizens to transparency.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