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Jak se připojit k iniciativě Transparency4Safety</w:t>
      </w:r>
    </w:p>
    <w:p>
      <w:pPr>
        <w:spacing w:after="120"/>
      </w:pPr>
      <w:r>
        <w:rPr>
          <w:rFonts w:ascii="Arial" w:hAnsi="Arial"/>
          <w:b/>
          <w:sz w:val="20"/>
        </w:rPr>
        <w:t>1. Otevřete kontaktní formulář EMA:</w:t>
        <w:br/>
      </w:r>
      <w:r>
        <w:rPr>
          <w:rFonts w:ascii="Arial" w:hAnsi="Arial"/>
          <w:sz w:val="20"/>
          <w:u w:val="single"/>
        </w:rPr>
        <w:t>https://www.ema.europa.eu/en/about-us/contacts-european-medicines-agency/send-question-european-medicines-agency</w:t>
      </w:r>
    </w:p>
    <w:p>
      <w:pPr>
        <w:spacing w:after="80"/>
      </w:pPr>
      <w:r>
        <w:rPr>
          <w:rFonts w:ascii="Arial" w:hAnsi="Arial"/>
          <w:sz w:val="20"/>
        </w:rPr>
        <w:t>2. Vyplňte formulář následovně: zvolte kategorii Consumer → I want an unpublished document.</w:t>
      </w:r>
    </w:p>
    <w:p>
      <w:pPr>
        <w:spacing w:after="80"/>
      </w:pPr>
      <w:r>
        <w:rPr>
          <w:rFonts w:ascii="Arial" w:hAnsi="Arial"/>
          <w:sz w:val="20"/>
        </w:rPr>
        <w:t>3. Zkopírujte a vložte text žádosti v angličtině nebo ve vámi zvoleném jazyce.</w:t>
      </w:r>
    </w:p>
    <w:p>
      <w:pPr>
        <w:spacing w:after="80"/>
      </w:pPr>
      <w:r>
        <w:rPr>
          <w:rFonts w:ascii="Arial" w:hAnsi="Arial"/>
          <w:sz w:val="20"/>
        </w:rPr>
        <w:t>4. Po odeslání vyčkejte na potvrzovací e-mail EMA a pečlivě si uschovejte číslo ASK. Připojte se pouze tehdy, pokud máte skutečný zájem tuto věc dlouhodobě sledovat. Postupy EMA mohou být velmi pomalé; uschovejte si číslo ASK a kontrolujte doručenou poštu i spam.</w:t>
      </w:r>
    </w:p>
    <w:p>
      <w:pPr>
        <w:spacing w:after="120"/>
      </w:pPr>
      <w:r>
        <w:rPr>
          <w:rFonts w:ascii="Arial" w:hAnsi="Arial"/>
          <w:b/>
          <w:sz w:val="20"/>
        </w:rPr>
        <w:t>5. Přihlaste se k odběru, abyste zůstali informováni a dostávali další aktualizace a otevřené dopisy odborníků:</w:t>
        <w:br/>
      </w:r>
      <w:r>
        <w:rPr>
          <w:rFonts w:ascii="Arial" w:hAnsi="Arial"/>
          <w:sz w:val="20"/>
          <w:u w:val="single"/>
        </w:rPr>
        <w:t>https://transparency4safety.substack.com/</w:t>
      </w:r>
    </w:p>
    <w:p/>
    <w:p>
      <w:pPr>
        <w:pStyle w:val="Heading1"/>
      </w:pPr>
      <w:r>
        <w:t>Text žádosti ve vašem jazyce</w:t>
      </w:r>
    </w:p>
    <w:p>
      <w:pPr>
        <w:spacing w:after="80"/>
      </w:pPr>
      <w:r>
        <w:rPr>
          <w:rFonts w:ascii="Arial" w:hAnsi="Arial"/>
          <w:b/>
          <w:sz w:val="20"/>
        </w:rPr>
        <w:t>Žádost občana EU – Transparency4Safety</w:t>
      </w:r>
    </w:p>
    <w:p>
      <w:pPr>
        <w:spacing w:after="80"/>
      </w:pPr>
      <w:r>
        <w:rPr>
          <w:rFonts w:ascii="Arial" w:hAnsi="Arial"/>
          <w:sz w:val="20"/>
        </w:rPr>
        <w:t>Vážené dámy, vážení pánové,</w:t>
      </w:r>
    </w:p>
    <w:p>
      <w:pPr>
        <w:spacing w:after="80"/>
      </w:pPr>
      <w:r>
        <w:rPr>
          <w:rFonts w:ascii="Arial" w:hAnsi="Arial"/>
          <w:sz w:val="20"/>
        </w:rPr>
        <w:t>v rámci iniciativy Transparency4Safety požaduji podle nařízení (ES) č. 1049/2001 úplné a nezredigované zveřejnění všech podstatných údajů o registraci přípravků Comirnaty a Spikevax a případně dalších údajů o registracích mRNA, aby bylo možné provést nezávislé vědecké přehodnocení.</w:t>
      </w:r>
    </w:p>
    <w:p>
      <w:pPr>
        <w:spacing w:after="80"/>
      </w:pPr>
      <w:r>
        <w:rPr>
          <w:rFonts w:ascii="Arial" w:hAnsi="Arial"/>
          <w:sz w:val="20"/>
        </w:rPr>
        <w:t>Na zveřejnění existuje převažující veřejný zájem, protože nepřiměřené požadavky na kvalitu, bezpečnost a kontrolu technologie mRNA-LNP by mohly vést k možnému poškození zdraví. Tyto přípravky byly podány milionkrát zdravým osobám i zvláště zranitelným skupinám. Právě proto musí být plně ověřitelné, zda jsou požadavky EMA na registraci týkající se mechanismu účinku, kvality, bezpečnosti, kontroly a dlouhodobých účinků dostatečné.</w:t>
      </w:r>
    </w:p>
    <w:p>
      <w:pPr>
        <w:spacing w:after="80"/>
      </w:pPr>
      <w:r>
        <w:rPr>
          <w:rFonts w:ascii="Arial" w:hAnsi="Arial"/>
          <w:sz w:val="20"/>
        </w:rPr>
        <w:t>Proto požaduji:</w:t>
      </w:r>
    </w:p>
    <w:p>
      <w:pPr>
        <w:spacing w:after="80"/>
      </w:pPr>
      <w:r>
        <w:rPr>
          <w:rFonts w:ascii="Arial" w:hAnsi="Arial"/>
          <w:b/>
          <w:sz w:val="20"/>
        </w:rPr>
        <w:t>1. Úplné zveřejnění</w:t>
      </w:r>
    </w:p>
    <w:p>
      <w:pPr>
        <w:spacing w:after="80"/>
      </w:pPr>
      <w:r>
        <w:rPr>
          <w:rFonts w:ascii="Arial" w:hAnsi="Arial"/>
          <w:sz w:val="20"/>
        </w:rPr>
        <w:t>Požaduji, aby EMA plně a bez začernění zveřejnila všechny registrační dokumenty Common Technical Document (CTD), včetně všech verzí, jakož i další relevantní dokumenty týkající se výroby, kontroly kvality, kontroly šarží, reziduální DNA, kvality RNA, nečistot, biodistribuce a neklinické a klinické bezpečnosti pro vědecké posouzení.</w:t>
      </w:r>
    </w:p>
    <w:p>
      <w:pPr>
        <w:spacing w:after="80"/>
      </w:pPr>
      <w:r>
        <w:rPr>
          <w:rFonts w:ascii="Arial" w:hAnsi="Arial"/>
          <w:b/>
          <w:sz w:val="20"/>
        </w:rPr>
        <w:t>2. Nezávislé přehodnocení</w:t>
      </w:r>
    </w:p>
    <w:p>
      <w:pPr>
        <w:spacing w:after="80"/>
      </w:pPr>
      <w:r>
        <w:rPr>
          <w:rFonts w:ascii="Arial" w:hAnsi="Arial"/>
          <w:sz w:val="20"/>
        </w:rPr>
        <w:t>Požaduji, aby Comirnaty a Spikevax, jakož i další mRNA-LNP přípravky proti infekčním onemocněním, byly veřejně a transparentně vědecky a regulatorně přehodnoceny nezávislými odborníky bez vlivu farmaceutického průmyslu s ohledem na nejvyšší možnou úroveň ochrany zdraví. Přehodnocení musí vycházet z plně zveřejněných dokumentů, aktuálního stavu vědy, zásady předběžné opatrnosti a vysoké úrovně ochrany zdraví požadované právem Unie.</w:t>
      </w:r>
    </w:p>
    <w:p>
      <w:pPr>
        <w:spacing w:after="80"/>
      </w:pPr>
      <w:r>
        <w:rPr>
          <w:rFonts w:ascii="Arial" w:hAnsi="Arial"/>
          <w:b/>
          <w:sz w:val="20"/>
        </w:rPr>
        <w:t>3. Vyšší standard ochrany</w:t>
      </w:r>
    </w:p>
    <w:p>
      <w:pPr>
        <w:spacing w:after="80"/>
      </w:pPr>
      <w:r>
        <w:rPr>
          <w:rFonts w:ascii="Arial" w:hAnsi="Arial"/>
          <w:sz w:val="20"/>
        </w:rPr>
        <w:t>Dále požaduji, aby se na všechny stávající i budoucí registrace mRNA proti infekčním onemocněním vztahoval nejvyšší standard ochrany, zejména pokud jde o reziduální DNA, kvalitu šarží, biodistribuci, dlouhodobou bezpečnost a rizika související s technologií. Požaduji zveřejnění všech dokumentů, z nichž vyplývá, proč nebyly u mRNA-LNP vakcín proti infekčním onemocněním uplatněny stejné přísné standardy ochrany, zkoušení a kontroly jako u srovnatelných léčiv založených na nukleových kyselinách nebo relevantních pro genovou terapii.</w:t>
      </w:r>
    </w:p>
    <w:p>
      <w:pPr>
        <w:spacing w:after="80"/>
      </w:pPr>
      <w:r>
        <w:rPr>
          <w:rFonts w:ascii="Arial" w:hAnsi="Arial"/>
          <w:b/>
          <w:sz w:val="20"/>
        </w:rPr>
        <w:t>4. Postup podle článku 20 a okamžité pozastavení</w:t>
      </w:r>
    </w:p>
    <w:p>
      <w:pPr>
        <w:spacing w:after="80"/>
      </w:pPr>
      <w:r>
        <w:rPr>
          <w:rFonts w:ascii="Arial" w:hAnsi="Arial"/>
          <w:sz w:val="20"/>
        </w:rPr>
        <w:t>Požaduji, aby EMA neprodleně zahájila postup podle článku 20 nařízení (ES) č. 726/2004 za účelem okamžitého pozastavení používání přípravků Comirnaty a Spikevax, jakož i srovnatelných mRNA-LNP přípravků proti infekčním onemocněním. Toto musí být rozhodnuto na základě zásady předběžné opatrnosti, dokud nebudou dostatečně objasněny všechny bezpečnostní aspekty těchto přípravků. Pokud nebude zahájeno okamžité pozastavení všech registrací mRNA, požaduji zveřejnění všech dokumentů, z nichž vyplývá, proč k tomu nebylo přistoupeno. Patří sem například zprávy Evropské komisi, interní hodnocení, stanoviska, rozhodnutí a e-maily mezi Komisí a EMA.</w:t>
      </w:r>
    </w:p>
    <w:p>
      <w:pPr>
        <w:spacing w:after="80"/>
      </w:pPr>
      <w:r>
        <w:rPr>
          <w:rFonts w:ascii="Arial" w:hAnsi="Arial"/>
          <w:b/>
          <w:sz w:val="20"/>
        </w:rPr>
        <w:t>5. Veřejné slyšení</w:t>
      </w:r>
    </w:p>
    <w:p>
      <w:pPr>
        <w:spacing w:after="80"/>
      </w:pPr>
      <w:r>
        <w:rPr>
          <w:rFonts w:ascii="Arial" w:hAnsi="Arial"/>
          <w:b/>
          <w:sz w:val="20"/>
        </w:rPr>
        <w:t>6. Veřejně dostupná databáze</w:t>
      </w:r>
    </w:p>
    <w:p>
      <w:pPr>
        <w:spacing w:after="80"/>
      </w:pPr>
      <w:r>
        <w:rPr>
          <w:rFonts w:ascii="Arial" w:hAnsi="Arial"/>
          <w:sz w:val="20"/>
        </w:rPr>
        <w:t>Požaduji, aby byla respektována všechna má práva podle nařízení (ES) č. 1049/2001 a aby všechny zveřejněné dokumenty, včetně dokumentů z jiných žádostí, byly zpřístupněny všem občanům EU ve veřejně dostupné databázi, jak EMA již uvedla.</w:t>
      </w:r>
    </w:p>
    <w:p>
      <w:pPr>
        <w:spacing w:after="80"/>
      </w:pPr>
      <w:r>
        <w:rPr>
          <w:rFonts w:ascii="Arial" w:hAnsi="Arial"/>
          <w:sz w:val="20"/>
        </w:rPr>
        <w:t>Požaduji, aby EMA včas svolala slyšení s nezávislými odborníky bez vlivu farmaceutického průmyslu, EMA a příslušnými výbory. Musí být umožněna online účast v rámci iniciativy Transparency4Safety. Slyšení má transparentně projednat otázky bezpečnosti a kvality vznesené touto iniciativou.</w:t>
      </w:r>
    </w:p>
    <w:p>
      <w:pPr>
        <w:spacing w:after="80"/>
      </w:pPr>
      <w:r>
        <w:rPr>
          <w:rFonts w:ascii="Arial" w:hAnsi="Arial"/>
          <w:sz w:val="20"/>
        </w:rPr>
        <w:t>Tato žádost slouží ochraně veřejného zdraví, zásadě předběžné opatrnosti, demokratické kontrole a právu občanů EU na transparentnost.</w:t>
      </w:r>
    </w:p>
    <w:p>
      <w:pPr>
        <w:spacing w:after="80"/>
      </w:pPr>
      <w:r>
        <w:rPr>
          <w:rFonts w:ascii="Arial" w:hAnsi="Arial"/>
          <w:sz w:val="20"/>
        </w:rPr>
        <w:t>S pozdravem,</w:t>
        <w:br/>
        <w:t>[Jméno]</w:t>
      </w:r>
    </w:p>
    <w:p>
      <w:r>
        <w:br w:type="page"/>
      </w:r>
    </w:p>
    <w:p>
      <w:pPr>
        <w:pStyle w:val="Heading1"/>
      </w:pPr>
      <w:r>
        <w:t>Original English text</w:t>
      </w:r>
    </w:p>
    <w:p>
      <w:pPr>
        <w:spacing w:after="80"/>
      </w:pPr>
      <w:r>
        <w:rPr>
          <w:rFonts w:ascii="Arial" w:hAnsi="Arial"/>
          <w:b/>
          <w:sz w:val="20"/>
        </w:rPr>
        <w:t>EU Citizen Request – Transparency4Safety</w:t>
      </w:r>
    </w:p>
    <w:p>
      <w:pPr>
        <w:spacing w:after="80"/>
      </w:pPr>
      <w:r>
        <w:rPr>
          <w:rFonts w:ascii="Arial" w:hAnsi="Arial"/>
          <w:sz w:val="20"/>
        </w:rPr>
        <w:t>Within the framework of the Transparency4Safety (T4S) Initiative ongoing since February 2025, I request, pursuant to Regulation (EC) No 1049/2001, the full and unredacted disclosure of all essential marketing-authorisation data concerning Comirnaty and Spikevax, and, where applicable, further mRNA authorisation data, in order to enable an independent scientific reassessment.</w:t>
      </w:r>
    </w:p>
    <w:p>
      <w:pPr>
        <w:spacing w:after="80"/>
      </w:pPr>
      <w:r>
        <w:rPr>
          <w:rFonts w:ascii="Arial" w:hAnsi="Arial"/>
          <w:sz w:val="20"/>
        </w:rPr>
        <w:t>There is an overriding public interest in disclosure, because possible health harms may have been caused by an insufficient regulatory assessment of the mRNA-LNP technology, including quality, safety and control requirements. I therefore request:</w:t>
      </w:r>
    </w:p>
    <w:p>
      <w:pPr>
        <w:spacing w:after="80"/>
      </w:pPr>
      <w:r>
        <w:rPr>
          <w:rFonts w:ascii="Arial" w:hAnsi="Arial"/>
          <w:b/>
          <w:sz w:val="20"/>
        </w:rPr>
        <w:t>Full disclosure</w:t>
      </w:r>
    </w:p>
    <w:p>
      <w:pPr>
        <w:spacing w:after="80"/>
      </w:pPr>
      <w:r>
        <w:rPr>
          <w:rFonts w:ascii="Arial" w:hAnsi="Arial"/>
          <w:sz w:val="20"/>
        </w:rPr>
        <w:t>I request that EMA immediately disclose, in full and without redactions, all authorisation documents of the Common Technical Document (CTD), including all versions, for scientific review, as well as further relevant documents concerning manufacturing, quality control, batch testing, residual DNA, RNA quality, impurities, biodistribution, and non-clinical and clinical safety.</w:t>
      </w:r>
    </w:p>
    <w:p>
      <w:pPr>
        <w:spacing w:after="80"/>
      </w:pPr>
      <w:r>
        <w:rPr>
          <w:rFonts w:ascii="Arial" w:hAnsi="Arial"/>
          <w:b/>
          <w:sz w:val="20"/>
        </w:rPr>
        <w:t>Independent reassessment</w:t>
      </w:r>
    </w:p>
    <w:p>
      <w:pPr>
        <w:spacing w:after="80"/>
      </w:pPr>
      <w:r>
        <w:rPr>
          <w:rFonts w:ascii="Arial" w:hAnsi="Arial"/>
          <w:sz w:val="20"/>
        </w:rPr>
        <w:t>I request that Comirnaty and Spikevax, as well as other mRNA-LNP products against infectious diseases, be publicly and transparently reassessed scientifically and regulatorily by independent experts free from pharmaceutical-industry influence, with a view to the highest possible protection of health. The reassessment must be based on the fully disclosed documents, the current state of science, the precautionary principle and the high level of health protection required under Union law. The expert letters submitted to EMA within the T4S Initiative must form an essential basis for this reassessment.</w:t>
      </w:r>
    </w:p>
    <w:p>
      <w:pPr>
        <w:spacing w:after="80"/>
      </w:pPr>
      <w:r>
        <w:rPr>
          <w:rFonts w:ascii="Arial" w:hAnsi="Arial"/>
          <w:b/>
          <w:sz w:val="20"/>
        </w:rPr>
        <w:t>Highest health standard</w:t>
      </w:r>
    </w:p>
    <w:p>
      <w:pPr>
        <w:spacing w:after="80"/>
      </w:pPr>
      <w:r>
        <w:rPr>
          <w:rFonts w:ascii="Arial" w:hAnsi="Arial"/>
          <w:sz w:val="20"/>
        </w:rPr>
        <w:t>I further request that the highest health-protection standard apply to all existing and future mRNA authorisations against infectious diseases, in particular with regard to residual DNA, batch quality, biodistribution, long-term safety and technology-related risks. I request disclosure of all documents showing why the same strict protection, testing and control standards were not applied to mRNA-LNP vaccines against infectious diseases as to comparable nucleic-acid-based or gene-therapy-relevant medicinal products.</w:t>
      </w:r>
    </w:p>
    <w:p>
      <w:pPr>
        <w:spacing w:after="80"/>
      </w:pPr>
      <w:r>
        <w:rPr>
          <w:rFonts w:ascii="Arial" w:hAnsi="Arial"/>
          <w:b/>
          <w:sz w:val="20"/>
        </w:rPr>
        <w:t>Article 20 procedure and immediate suspension</w:t>
      </w:r>
    </w:p>
    <w:p>
      <w:pPr>
        <w:spacing w:after="80"/>
      </w:pPr>
      <w:r>
        <w:rPr>
          <w:rFonts w:ascii="Arial" w:hAnsi="Arial"/>
          <w:sz w:val="20"/>
        </w:rPr>
        <w:t>I request that EMA immediately initiate a procedure under Article 20 of Regulation (EC) No 726/2004 for the immediate suspension of the use of Comirnaty and Spikevax, as well as comparable mRNA-LNP products against infectious diseases, applying the precautionary principle in order to enable an independent reassessment of these products. If no immediate suspension of all mRNA authorisations is initiated, I request disclosure of all documents showing why this was not done, including reports to the European Commission, internal assessments, opinions, decisions and emails between the Commission and EMA.</w:t>
      </w:r>
    </w:p>
    <w:p>
      <w:pPr>
        <w:spacing w:after="80"/>
      </w:pPr>
      <w:r>
        <w:rPr>
          <w:rFonts w:ascii="Arial" w:hAnsi="Arial"/>
          <w:b/>
          <w:sz w:val="20"/>
        </w:rPr>
        <w:t>Public hearing</w:t>
      </w:r>
    </w:p>
    <w:p>
      <w:pPr>
        <w:spacing w:after="80"/>
      </w:pPr>
      <w:r>
        <w:rPr>
          <w:rFonts w:ascii="Arial" w:hAnsi="Arial"/>
          <w:sz w:val="20"/>
        </w:rPr>
        <w:t>I request that EMA convene a timely hearing with independent experts free from pharmaceutical-industry influence, EMA and the competent committees, allowing online participation within the Transparency4Safety Initiative, and transparently addressing the safety and quality questions raised by this initiative.</w:t>
      </w:r>
    </w:p>
    <w:p>
      <w:pPr>
        <w:spacing w:after="80"/>
      </w:pPr>
      <w:r>
        <w:rPr>
          <w:rFonts w:ascii="Arial" w:hAnsi="Arial"/>
          <w:b/>
          <w:sz w:val="20"/>
        </w:rPr>
        <w:t>Publicly accessible database</w:t>
      </w:r>
    </w:p>
    <w:p>
      <w:pPr>
        <w:spacing w:after="80"/>
      </w:pPr>
      <w:r>
        <w:rPr>
          <w:rFonts w:ascii="Arial" w:hAnsi="Arial"/>
          <w:sz w:val="20"/>
        </w:rPr>
        <w:t>I request that all my rights under Regulation (EC) No 1049/2001 be respected and that all disclosed documents, including documents disclosed in response to other requests, be made available to all EU citizens in a publicly accessible database, as EMA has already envisaged.</w:t>
      </w:r>
    </w:p>
    <w:p>
      <w:pPr>
        <w:spacing w:after="80"/>
      </w:pPr>
      <w:r>
        <w:rPr>
          <w:rFonts w:ascii="Arial" w:hAnsi="Arial"/>
          <w:sz w:val="20"/>
        </w:rPr>
        <w:t>This request serves the protection of public health, the precautionary principle, democratic oversight and the right of EU citizens to transparency.</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