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Información para participantes de seguimiento</w:t>
      </w:r>
    </w:p>
    <w:p>
      <w:pPr>
        <w:spacing w:after="140"/>
      </w:pPr>
      <w:r>
        <w:t>Si usted es una de las 2.100 personas participantes iniciales y ya tiene una solicitud pendiente ante la EMA, reactive su presentación:</w:t>
      </w:r>
    </w:p>
    <w:p>
      <w:pPr>
        <w:pStyle w:val="Heading2"/>
      </w:pPr>
      <w:r>
        <w:rPr>
          <w:b/>
        </w:rPr>
        <w:t>Cómo enviar una solicitud de seguimiento a la EMA</w:t>
      </w:r>
    </w:p>
    <w:p>
      <w:pPr/>
      <w:r>
        <w:rPr>
          <w:b/>
        </w:rPr>
        <w:t xml:space="preserve">1. </w:t>
      </w:r>
      <w:r>
        <w:t>Abra el formulario de contacto de la EMA “Send a question”:</w:t>
      </w:r>
      <w:r>
        <w:br/>
      </w:r>
      <w:r>
        <w:t>https://www.ema.europa.eu/en/about-us/contacts-european-medicines-agency/send-question-european-medicines-agency</w:t>
      </w:r>
    </w:p>
    <w:p>
      <w:pPr/>
      <w:r>
        <w:rPr>
          <w:b/>
        </w:rPr>
        <w:t xml:space="preserve">2. </w:t>
      </w:r>
      <w:r>
        <w:t>Rellene el formulario en línea. Elija, por ejemplo:</w:t>
      </w:r>
      <w:r>
        <w:br/>
      </w:r>
      <w:r>
        <w:t>Patient and consumer → I want an unpublished document; como asunto de la consulta, escriba:</w:t>
      </w:r>
      <w:r>
        <w:br/>
      </w:r>
      <w:r>
        <w:t>Transparency4Safety – Follow-up to ASK [insertar número ASK]</w:t>
      </w:r>
    </w:p>
    <w:p>
      <w:pPr/>
      <w:r>
        <w:rPr>
          <w:b/>
        </w:rPr>
        <w:t xml:space="preserve">3. </w:t>
      </w:r>
      <w:r>
        <w:t>Si ha perdido su número ASK inicial, escriba:</w:t>
      </w:r>
      <w:r>
        <w:br/>
      </w:r>
      <w:r>
        <w:t>“I submitted an access-to-documents request in 2025 and would be grateful if EMA could resend me the original ASK number.”</w:t>
      </w:r>
      <w:r>
        <w:br/>
      </w:r>
      <w:r>
        <w:t>Modifique el texto siguiente según corresponda o escríbalo con sus propias palabras.</w:t>
      </w:r>
    </w:p>
    <w:p>
      <w:pPr>
        <w:pStyle w:val="Heading2"/>
      </w:pPr>
      <w:r>
        <w:rPr>
          <w:b/>
        </w:rPr>
        <w:t>Texto de ejemplo</w:t>
      </w:r>
    </w:p>
    <w:p>
      <w:pPr>
        <w:spacing w:after="140"/>
      </w:pPr>
      <w:r>
        <w:t>Me refiero a mi solicitud de acceso a documentos, registrada con el número ASK [insertar número ASK].</w:t>
      </w:r>
    </w:p>
    <w:p>
      <w:pPr>
        <w:spacing w:after="140"/>
      </w:pPr>
      <w:r>
        <w:t>Sigo esperando la divulgación completa y sin tachaduras de los documentos solicitados relativos a Comirnaty, Spikevax y otros productos basados en mRNA-LNP. Solicito que la EMA inicie inmediatamente un procedimiento legal y proporcione los documentos solicitados íntegramente y sin tachaduras.</w:t>
      </w:r>
    </w:p>
    <w:p>
      <w:pPr>
        <w:spacing w:after="140"/>
      </w:pPr>
      <w:r>
        <w:t>Hasta la fecha, la EMA ha vulnerado mis derechos procedimentales garantizados por el Derecho de la Unión al no tramitar adecuadamente mi solicitud, no divulgar los documentos solicitados o no emitir una decisión legal y motivada con acceso a la fase confirmatoria.</w:t>
      </w:r>
    </w:p>
    <w:p>
      <w:pPr>
        <w:spacing w:after="140"/>
      </w:pPr>
      <w:r>
        <w:t>Mantengo que existe un interés público superior en la divulgación, como se documentará además mediante informes sobre el interés público superior en el marco de esta iniciativa, y solicito expresamente a la EMA que inicie un procedimiento de suspensión de las autorizaciones de comercialización pertinentes.</w:t>
      </w:r>
    </w:p>
    <w:p>
      <w:pPr>
        <w:spacing w:after="140"/>
      </w:pPr>
      <w:r>
        <w:t>Conserve el nuevo número ASK que la EMA le enviará a su bandeja de entrada.</w:t>
      </w:r>
    </w:p>
    <w:sectPr w:rsidR="00FC693F" w:rsidRPr="0006063C" w:rsidSect="00034616">
      <w:footerReference w:type="default" r:id="rId9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Transparency4Safety – Follow-up request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ejaVu Sans" w:hAnsi="DejaVu Sans" w:eastAsia="DejaVu San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DejaVu Sans" w:hAnsi="DejaVu Sans" w:eastAsia="DejaVu Sans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DejaVu Sans" w:hAnsi="DejaVu Sans" w:eastAsia="DejaVu Sans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DejaVu Sans" w:hAnsi="DejaVu Sans" w:eastAsia="DejaVu Sans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