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Como aderir à Iniciativa Transparency4Safety</w:t>
      </w:r>
    </w:p>
    <w:p>
      <w:pPr>
        <w:spacing w:after="120"/>
      </w:pPr>
      <w:r>
        <w:rPr>
          <w:rFonts w:ascii="Arial" w:hAnsi="Arial"/>
          <w:b/>
          <w:sz w:val="20"/>
        </w:rPr>
        <w:t>1. Abra o formulário de contacto da EMA:</w:t>
        <w:br/>
      </w:r>
      <w:r>
        <w:rPr>
          <w:rFonts w:ascii="Arial" w:hAnsi="Arial"/>
          <w:sz w:val="20"/>
          <w:u w:val="single"/>
        </w:rPr>
        <w:t>https://www.ema.europa.eu/en/about-us/contacts-european-medicines-agency/send-question-european-medicines-agency</w:t>
      </w:r>
    </w:p>
    <w:p>
      <w:pPr>
        <w:spacing w:after="80"/>
      </w:pPr>
      <w:r>
        <w:rPr>
          <w:rFonts w:ascii="Arial" w:hAnsi="Arial"/>
          <w:sz w:val="20"/>
        </w:rPr>
        <w:t>2. Preencha o formulário da seguinte forma: escolha a categoria Consumer → I want an unpublished document.</w:t>
      </w:r>
    </w:p>
    <w:p>
      <w:pPr>
        <w:spacing w:after="80"/>
      </w:pPr>
      <w:r>
        <w:rPr>
          <w:rFonts w:ascii="Arial" w:hAnsi="Arial"/>
          <w:sz w:val="20"/>
        </w:rPr>
        <w:t>3. Copie e cole o texto do pedido em inglês ou na língua da sua escolha.</w:t>
      </w:r>
    </w:p>
    <w:p>
      <w:pPr>
        <w:spacing w:after="80"/>
      </w:pPr>
      <w:r>
        <w:rPr>
          <w:rFonts w:ascii="Arial" w:hAnsi="Arial"/>
          <w:sz w:val="20"/>
        </w:rPr>
        <w:t>4. Após o envio, aguarde o e-mail de confirmação da EMA e guarde cuidadosamente o número ASK. Participe apenas se estiver genuinamente interessado em acompanhar este assunto ao longo do tempo. Os procedimentos da EMA podem ser muito lentos; guarde o número ASK e verifique a caixa de entrada e o spam.</w:t>
      </w:r>
    </w:p>
    <w:p>
      <w:pPr>
        <w:spacing w:after="120"/>
      </w:pPr>
      <w:r>
        <w:rPr>
          <w:rFonts w:ascii="Arial" w:hAnsi="Arial"/>
          <w:b/>
          <w:sz w:val="20"/>
        </w:rPr>
        <w:t>5. Subscreva para se manter informado e receber novas atualizações e cartas abertas de peritos:</w:t>
        <w:br/>
      </w:r>
      <w:r>
        <w:rPr>
          <w:rFonts w:ascii="Arial" w:hAnsi="Arial"/>
          <w:sz w:val="20"/>
          <w:u w:val="single"/>
        </w:rPr>
        <w:t>https://transparency4safety.substack.com/</w:t>
      </w:r>
    </w:p>
    <w:p/>
    <w:p>
      <w:pPr>
        <w:pStyle w:val="Heading1"/>
      </w:pPr>
      <w:r>
        <w:t>Texto do pedido na sua língua</w:t>
      </w:r>
    </w:p>
    <w:p>
      <w:pPr>
        <w:spacing w:after="80"/>
      </w:pPr>
      <w:r>
        <w:rPr>
          <w:rFonts w:ascii="Arial" w:hAnsi="Arial"/>
          <w:b/>
          <w:sz w:val="20"/>
        </w:rPr>
        <w:t>Pedido de cidadão da UE – Transparency4Safety</w:t>
      </w:r>
    </w:p>
    <w:p>
      <w:pPr>
        <w:spacing w:after="80"/>
      </w:pPr>
      <w:r>
        <w:rPr>
          <w:rFonts w:ascii="Arial" w:hAnsi="Arial"/>
          <w:sz w:val="20"/>
        </w:rPr>
        <w:t>Exmos. Senhores,</w:t>
      </w:r>
    </w:p>
    <w:p>
      <w:pPr>
        <w:spacing w:after="80"/>
      </w:pPr>
      <w:r>
        <w:rPr>
          <w:rFonts w:ascii="Arial" w:hAnsi="Arial"/>
          <w:sz w:val="20"/>
        </w:rPr>
        <w:t>no âmbito da Iniciativa Transparency4Safety, solicito, ao abrigo do Regulamento (CE) n.º 1049/2001, a divulgação completa e não rasurada de todos os dados essenciais de autorização de introdução no mercado relativos a Comirnaty e Spikevax, bem como, se aplicável, de outros dados de autorização relativos a mRNA, a fim de permitir uma reavaliação científica independente.</w:t>
      </w:r>
    </w:p>
    <w:p>
      <w:pPr>
        <w:spacing w:after="80"/>
      </w:pPr>
      <w:r>
        <w:rPr>
          <w:rFonts w:ascii="Arial" w:hAnsi="Arial"/>
          <w:sz w:val="20"/>
        </w:rPr>
        <w:t>Existe um interesse público superior na divulgação, porque requisitos inadequados de qualidade, segurança e controlo da tecnologia mRNA-LNP poderiam conduzir a possíveis danos para a saúde. Estes produtos foram administrados milhões de vezes a pessoas saudáveis e a grupos particularmente vulneráveis. Por isso, deve ser plenamente verificável se os requisitos de autorização da EMA relativos ao modo de ação, qualidade, segurança, controlo e efeitos a longo prazo são suficientes.</w:t>
      </w:r>
    </w:p>
    <w:p>
      <w:pPr>
        <w:spacing w:after="80"/>
      </w:pPr>
      <w:r>
        <w:rPr>
          <w:rFonts w:ascii="Arial" w:hAnsi="Arial"/>
          <w:sz w:val="20"/>
        </w:rPr>
        <w:t>Por conseguinte, solicito:</w:t>
      </w:r>
    </w:p>
    <w:p>
      <w:pPr>
        <w:spacing w:after="80"/>
      </w:pPr>
      <w:r>
        <w:rPr>
          <w:rFonts w:ascii="Arial" w:hAnsi="Arial"/>
          <w:b/>
          <w:sz w:val="20"/>
        </w:rPr>
        <w:t>1. Divulgação completa</w:t>
      </w:r>
    </w:p>
    <w:p>
      <w:pPr>
        <w:spacing w:after="80"/>
      </w:pPr>
      <w:r>
        <w:rPr>
          <w:rFonts w:ascii="Arial" w:hAnsi="Arial"/>
          <w:sz w:val="20"/>
        </w:rPr>
        <w:t>Solicito que a EMA divulgue integralmente e sem rasuras todos os documentos de autorização do Common Technical Document (CTD), incluindo todas as versões, bem como outros documentos relevantes relativos a fabrico, controlo de qualidade, controlo de lotes, DNA residual, qualidade do RNA, impurezas, biodistribuição e segurança não clínica e clínica, para revisão científica.</w:t>
      </w:r>
    </w:p>
    <w:p>
      <w:pPr>
        <w:spacing w:after="80"/>
      </w:pPr>
      <w:r>
        <w:rPr>
          <w:rFonts w:ascii="Arial" w:hAnsi="Arial"/>
          <w:b/>
          <w:sz w:val="20"/>
        </w:rPr>
        <w:t>2. Reavaliação independente</w:t>
      </w:r>
    </w:p>
    <w:p>
      <w:pPr>
        <w:spacing w:after="80"/>
      </w:pPr>
      <w:r>
        <w:rPr>
          <w:rFonts w:ascii="Arial" w:hAnsi="Arial"/>
          <w:sz w:val="20"/>
        </w:rPr>
        <w:t>Solicito que Comirnaty e Spikevax, bem como outros produtos mRNA-LNP contra doenças infecciosas, sejam reavaliados científica e regulamentarmente de forma pública e transparente por peritos independentes e livres de influência da indústria farmacêutica, tendo em vista o mais elevado nível possível de proteção da saúde. A reavaliação deve basear-se nos documentos integralmente divulgados, no estado atual da ciência, no princípio da precaução e no elevado nível de proteção da saúde exigido pelo direito da União.</w:t>
      </w:r>
    </w:p>
    <w:p>
      <w:pPr>
        <w:spacing w:after="80"/>
      </w:pPr>
      <w:r>
        <w:rPr>
          <w:rFonts w:ascii="Arial" w:hAnsi="Arial"/>
          <w:b/>
          <w:sz w:val="20"/>
        </w:rPr>
        <w:t>3. Nível de proteção mais elevado</w:t>
      </w:r>
    </w:p>
    <w:p>
      <w:pPr>
        <w:spacing w:after="80"/>
      </w:pPr>
      <w:r>
        <w:rPr>
          <w:rFonts w:ascii="Arial" w:hAnsi="Arial"/>
          <w:sz w:val="20"/>
        </w:rPr>
        <w:t>Solicito ainda que o nível máximo de proteção se aplique a todas as autorizações mRNA existentes e futuras contra doenças infecciosas, em especial quanto a DNA residual, qualidade dos lotes, biodistribuição, segurança a longo prazo e riscos relacionados com a tecnologia. Solicito a divulgação de todos os documentos que indiquem por que razão não foram aplicados às vacinas mRNA-LNP contra doenças infecciosas os mesmos padrões rigorosos de proteção, ensaio e controlo aplicáveis a medicamentos comparáveis baseados em ácidos nucleicos ou relevantes para a terapia génica.</w:t>
      </w:r>
    </w:p>
    <w:p>
      <w:pPr>
        <w:spacing w:after="80"/>
      </w:pPr>
      <w:r>
        <w:rPr>
          <w:rFonts w:ascii="Arial" w:hAnsi="Arial"/>
          <w:b/>
          <w:sz w:val="20"/>
        </w:rPr>
        <w:t>4. Procedimento do artigo 20.º e suspensão imediata</w:t>
      </w:r>
    </w:p>
    <w:p>
      <w:pPr>
        <w:spacing w:after="80"/>
      </w:pPr>
      <w:r>
        <w:rPr>
          <w:rFonts w:ascii="Arial" w:hAnsi="Arial"/>
          <w:sz w:val="20"/>
        </w:rPr>
        <w:t>Solicito que a EMA inicie imediatamente um procedimento nos termos do artigo 20.º do Regulamento (CE) n.º 726/2004 para a suspensão imediata da utilização de Comirnaty e Spikevax, bem como de produtos mRNA-LNP comparáveis contra doenças infecciosas. Isto deve ser decidido com base no princípio da precaução até que todos os aspetos de segurança destes produtos estejam suficientemente esclarecidos. Caso não seja iniciada a suspensão imediata de todas as autorizações mRNA, solicito a divulgação de todos os documentos que indiquem por que razão se absteve de o fazer. Isto inclui, por exemplo, relatórios à Comissão Europeia, avaliações internas, pareceres, decisões e e-mails entre a Comissão e a EMA.</w:t>
      </w:r>
    </w:p>
    <w:p>
      <w:pPr>
        <w:spacing w:after="80"/>
      </w:pPr>
      <w:r>
        <w:rPr>
          <w:rFonts w:ascii="Arial" w:hAnsi="Arial"/>
          <w:b/>
          <w:sz w:val="20"/>
        </w:rPr>
        <w:t>5. Audição pública</w:t>
      </w:r>
    </w:p>
    <w:p>
      <w:pPr>
        <w:spacing w:after="80"/>
      </w:pPr>
      <w:r>
        <w:rPr>
          <w:rFonts w:ascii="Arial" w:hAnsi="Arial"/>
          <w:b/>
          <w:sz w:val="20"/>
        </w:rPr>
        <w:t>6. Base de dados acessível ao público</w:t>
      </w:r>
    </w:p>
    <w:p>
      <w:pPr>
        <w:spacing w:after="80"/>
      </w:pPr>
      <w:r>
        <w:rPr>
          <w:rFonts w:ascii="Arial" w:hAnsi="Arial"/>
          <w:sz w:val="20"/>
        </w:rPr>
        <w:t>Solicito que todos os meus direitos ao abrigo do Regulamento (CE) n.º 1049/2001 sejam respeitados e que todos os documentos divulgados, incluindo os de outros pedidos, sejam disponibilizados a todos os cidadãos da UE numa base de dados acessível ao público, como a EMA já indicou.</w:t>
      </w:r>
    </w:p>
    <w:p>
      <w:pPr>
        <w:spacing w:after="80"/>
      </w:pPr>
      <w:r>
        <w:rPr>
          <w:rFonts w:ascii="Arial" w:hAnsi="Arial"/>
          <w:sz w:val="20"/>
        </w:rPr>
        <w:t>Solicito que a EMA convoque atempadamente uma audição com peritos independentes e livres de influência da indústria farmacêutica, a EMA e os comités competentes. Deve ser possível a participação em linha no âmbito da Iniciativa Transparency4Safety. A audição deve tratar de forma transparente as questões de segurança e qualidade levantadas por esta iniciativa.</w:t>
      </w:r>
    </w:p>
    <w:p>
      <w:pPr>
        <w:spacing w:after="80"/>
      </w:pPr>
      <w:r>
        <w:rPr>
          <w:rFonts w:ascii="Arial" w:hAnsi="Arial"/>
          <w:sz w:val="20"/>
        </w:rPr>
        <w:t>Este pedido serve a proteção da saúde pública, o princípio da precaução, o controlo democrático e o direito dos cidadãos da UE à transparência.</w:t>
      </w:r>
    </w:p>
    <w:p>
      <w:pPr>
        <w:spacing w:after="80"/>
      </w:pPr>
      <w:r>
        <w:rPr>
          <w:rFonts w:ascii="Arial" w:hAnsi="Arial"/>
          <w:sz w:val="20"/>
        </w:rPr>
        <w:t>Com os melhores cumprimentos,</w:t>
        <w:br/>
        <w:t>[Nome]</w:t>
      </w:r>
    </w:p>
    <w:p>
      <w:r>
        <w:br w:type="page"/>
      </w:r>
    </w:p>
    <w:p>
      <w:pPr>
        <w:pStyle w:val="Heading1"/>
      </w:pPr>
      <w:r>
        <w:t>Original English text</w:t>
      </w:r>
    </w:p>
    <w:p>
      <w:pPr>
        <w:spacing w:after="80"/>
      </w:pPr>
      <w:r>
        <w:rPr>
          <w:rFonts w:ascii="Arial" w:hAnsi="Arial"/>
          <w:b/>
          <w:sz w:val="20"/>
        </w:rPr>
        <w:t>EU Citizen Request – Transparency4Safety</w:t>
      </w:r>
    </w:p>
    <w:p>
      <w:pPr>
        <w:spacing w:after="80"/>
      </w:pPr>
      <w:r>
        <w:rPr>
          <w:rFonts w:ascii="Arial" w:hAnsi="Arial"/>
          <w:sz w:val="20"/>
        </w:rPr>
        <w:t>Within the framework of the Transparency4Safety (T4S) Initiative ongoing since February 2025, I request, pursuant to Regulation (EC) No 1049/2001, the full and unredacted disclosure of all essential marketing-authorisation data concerning Comirnaty and Spikevax, and, where applicable, further mRNA authorisation data, in order to enable an independent scientific reassessment.</w:t>
      </w:r>
    </w:p>
    <w:p>
      <w:pPr>
        <w:spacing w:after="80"/>
      </w:pPr>
      <w:r>
        <w:rPr>
          <w:rFonts w:ascii="Arial" w:hAnsi="Arial"/>
          <w:sz w:val="20"/>
        </w:rPr>
        <w:t>There is an overriding public interest in disclosure, because possible health harms may have been caused by an insufficient regulatory assessment of the mRNA-LNP technology, including quality, safety and control requirements. I therefore request:</w:t>
      </w:r>
    </w:p>
    <w:p>
      <w:pPr>
        <w:spacing w:after="80"/>
      </w:pPr>
      <w:r>
        <w:rPr>
          <w:rFonts w:ascii="Arial" w:hAnsi="Arial"/>
          <w:b/>
          <w:sz w:val="20"/>
        </w:rPr>
        <w:t>Full disclosure</w:t>
      </w:r>
    </w:p>
    <w:p>
      <w:pPr>
        <w:spacing w:after="80"/>
      </w:pPr>
      <w:r>
        <w:rPr>
          <w:rFonts w:ascii="Arial" w:hAnsi="Arial"/>
          <w:sz w:val="20"/>
        </w:rPr>
        <w:t>I request that EMA immediately disclose, in full and without redactions, all authorisation documents of the Common Technical Document (CTD), including all versions, for scientific review, as well as further relevant documents concerning manufacturing, quality control, batch testing, residual DNA, RNA quality, impurities, biodistribution, and non-clinical and clinical safety.</w:t>
      </w:r>
    </w:p>
    <w:p>
      <w:pPr>
        <w:spacing w:after="80"/>
      </w:pPr>
      <w:r>
        <w:rPr>
          <w:rFonts w:ascii="Arial" w:hAnsi="Arial"/>
          <w:b/>
          <w:sz w:val="20"/>
        </w:rPr>
        <w:t>Independent reassessment</w:t>
      </w:r>
    </w:p>
    <w:p>
      <w:pPr>
        <w:spacing w:after="80"/>
      </w:pPr>
      <w:r>
        <w:rPr>
          <w:rFonts w:ascii="Arial" w:hAnsi="Arial"/>
          <w:sz w:val="20"/>
        </w:rPr>
        <w:t>I request that Comirnaty and Spikevax, as well as other mRNA-LNP products against infectious diseases, be publicly and transparently reassessed scientifically and regulatorily by independent experts free from pharmaceutical-industry influence, with a view to the highest possible protection of health. The reassessment must be based on the fully disclosed documents, the current state of science, the precautionary principle and the high level of health protection required under Union law. The expert letters submitted to EMA within the T4S Initiative must form an essential basis for this reassessment.</w:t>
      </w:r>
    </w:p>
    <w:p>
      <w:pPr>
        <w:spacing w:after="80"/>
      </w:pPr>
      <w:r>
        <w:rPr>
          <w:rFonts w:ascii="Arial" w:hAnsi="Arial"/>
          <w:b/>
          <w:sz w:val="20"/>
        </w:rPr>
        <w:t>Highest health standard</w:t>
      </w:r>
    </w:p>
    <w:p>
      <w:pPr>
        <w:spacing w:after="80"/>
      </w:pPr>
      <w:r>
        <w:rPr>
          <w:rFonts w:ascii="Arial" w:hAnsi="Arial"/>
          <w:sz w:val="20"/>
        </w:rPr>
        <w:t>I further request that the highest health-protection standard apply to all existing and future mRNA authorisations against infectious diseases, in particular with regard to residual DNA, batch quality, biodistribution, long-term safety and technology-related risks. I request disclosure of all documents showing why the same strict protection, testing and control standards were not applied to mRNA-LNP vaccines against infectious diseases as to comparable nucleic-acid-based or gene-therapy-relevant medicinal products.</w:t>
      </w:r>
    </w:p>
    <w:p>
      <w:pPr>
        <w:spacing w:after="80"/>
      </w:pPr>
      <w:r>
        <w:rPr>
          <w:rFonts w:ascii="Arial" w:hAnsi="Arial"/>
          <w:b/>
          <w:sz w:val="20"/>
        </w:rPr>
        <w:t>Article 20 procedure and immediate suspension</w:t>
      </w:r>
    </w:p>
    <w:p>
      <w:pPr>
        <w:spacing w:after="80"/>
      </w:pPr>
      <w:r>
        <w:rPr>
          <w:rFonts w:ascii="Arial" w:hAnsi="Arial"/>
          <w:sz w:val="20"/>
        </w:rPr>
        <w:t>I request that EMA immediately initiate a procedure under Article 20 of Regulation (EC) No 726/2004 for the immediate suspension of the use of Comirnaty and Spikevax, as well as comparable mRNA-LNP products against infectious diseases, applying the precautionary principle in order to enable an independent reassessment of these products. If no immediate suspension of all mRNA authorisations is initiated, I request disclosure of all documents showing why this was not done, including reports to the European Commission, internal assessments, opinions, decisions and emails between the Commission and EMA.</w:t>
      </w:r>
    </w:p>
    <w:p>
      <w:pPr>
        <w:spacing w:after="80"/>
      </w:pPr>
      <w:r>
        <w:rPr>
          <w:rFonts w:ascii="Arial" w:hAnsi="Arial"/>
          <w:b/>
          <w:sz w:val="20"/>
        </w:rPr>
        <w:t>Public hearing</w:t>
      </w:r>
    </w:p>
    <w:p>
      <w:pPr>
        <w:spacing w:after="80"/>
      </w:pPr>
      <w:r>
        <w:rPr>
          <w:rFonts w:ascii="Arial" w:hAnsi="Arial"/>
          <w:sz w:val="20"/>
        </w:rPr>
        <w:t>I request that EMA convene a timely hearing with independent experts free from pharmaceutical-industry influence, EMA and the competent committees, allowing online participation within the Transparency4Safety Initiative, and transparently addressing the safety and quality questions raised by this initiative.</w:t>
      </w:r>
    </w:p>
    <w:p>
      <w:pPr>
        <w:spacing w:after="80"/>
      </w:pPr>
      <w:r>
        <w:rPr>
          <w:rFonts w:ascii="Arial" w:hAnsi="Arial"/>
          <w:b/>
          <w:sz w:val="20"/>
        </w:rPr>
        <w:t>Publicly accessible database</w:t>
      </w:r>
    </w:p>
    <w:p>
      <w:pPr>
        <w:spacing w:after="80"/>
      </w:pPr>
      <w:r>
        <w:rPr>
          <w:rFonts w:ascii="Arial" w:hAnsi="Arial"/>
          <w:sz w:val="20"/>
        </w:rPr>
        <w:t>I request that all my rights under Regulation (EC) No 1049/2001 be respected and that all disclosed documents, including documents disclosed in response to other requests, be made available to all EU citizens in a publicly accessible database, as EMA has already envisaged.</w:t>
      </w:r>
    </w:p>
    <w:p>
      <w:pPr>
        <w:spacing w:after="80"/>
      </w:pPr>
      <w:r>
        <w:rPr>
          <w:rFonts w:ascii="Arial" w:hAnsi="Arial"/>
          <w:sz w:val="20"/>
        </w:rPr>
        <w:t>This request serves the protection of public health, the precautionary principle, democratic oversight and the right of EU citizens to transparency.</w:t>
      </w:r>
    </w:p>
    <w:sectPr w:rsidR="00FC693F" w:rsidRPr="0006063C" w:rsidSect="00034616">
      <w:pgSz w:w="12240" w:h="15840"/>
      <w:pgMar w:top="864" w:right="1008" w:bottom="864"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rial" w:hAnsi="Arial"/>
      <w:b/>
      <w:bCs/>
      <w:color w:val="365F91" w:themeColor="accent1" w:themeShade="BF"/>
      <w:sz w:val="30"/>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rial" w:hAnsi="Arial"/>
      <w:b/>
      <w:bCs/>
      <w:color w:val="4F81BD" w:themeColor="accent1"/>
      <w:sz w:val="24"/>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rial" w:hAnsi="Arial"/>
      <w:b/>
      <w:color w:val="17365D" w:themeColor="text2" w:themeShade="BF"/>
      <w:spacing w:val="5"/>
      <w:kern w:val="28"/>
      <w:sz w:val="36"/>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