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Jak dołączyć do inicjatywy Transparency4Safety</w:t>
      </w:r>
    </w:p>
    <w:p>
      <w:pPr>
        <w:spacing w:after="120"/>
      </w:pPr>
      <w:r>
        <w:rPr>
          <w:rFonts w:ascii="Arial" w:hAnsi="Arial"/>
          <w:b/>
          <w:sz w:val="20"/>
        </w:rPr>
        <w:t>1. Otwórz formularz kontaktowy EMA:</w:t>
        <w:br/>
      </w:r>
      <w:r>
        <w:rPr>
          <w:rFonts w:ascii="Arial" w:hAnsi="Arial"/>
          <w:sz w:val="20"/>
          <w:u w:val="single"/>
        </w:rPr>
        <w:t>https://www.ema.europa.eu/en/about-us/contacts-european-medicines-agency/send-question-european-medicines-agency</w:t>
      </w:r>
    </w:p>
    <w:p>
      <w:pPr>
        <w:spacing w:after="80"/>
      </w:pPr>
      <w:r>
        <w:rPr>
          <w:rFonts w:ascii="Arial" w:hAnsi="Arial"/>
          <w:sz w:val="20"/>
        </w:rPr>
        <w:t>2. Wypełnij formularz w następujący sposób: wybierz kategorię Consumer → I want an unpublished document.</w:t>
      </w:r>
    </w:p>
    <w:p>
      <w:pPr>
        <w:spacing w:after="80"/>
      </w:pPr>
      <w:r>
        <w:rPr>
          <w:rFonts w:ascii="Arial" w:hAnsi="Arial"/>
          <w:sz w:val="20"/>
        </w:rPr>
        <w:t>3. Skopiuj i wklej tekst wniosku po angielsku lub w wybranym języku.</w:t>
      </w:r>
    </w:p>
    <w:p>
      <w:pPr>
        <w:spacing w:after="80"/>
      </w:pPr>
      <w:r>
        <w:rPr>
          <w:rFonts w:ascii="Arial" w:hAnsi="Arial"/>
          <w:sz w:val="20"/>
        </w:rPr>
        <w:t>4. Po wysłaniu poczekaj na wiadomość potwierdzającą od EMA i starannie zachowaj numer ASK. Dołącz tylko wtedy, gdy naprawdę chcesz śledzić tę sprawę w dłuższym czasie. Procedury EMA mogą być bardzo powolne; zachowaj numer ASK i sprawdzaj skrzynkę odbiorczą oraz folder spam.</w:t>
      </w:r>
    </w:p>
    <w:p>
      <w:pPr>
        <w:spacing w:after="120"/>
      </w:pPr>
      <w:r>
        <w:rPr>
          <w:rFonts w:ascii="Arial" w:hAnsi="Arial"/>
          <w:b/>
          <w:sz w:val="20"/>
        </w:rPr>
        <w:t>5. Subskrybuj, aby być na bieżąco i otrzymywać dalsze aktualizacje oraz listy otwarte ekspertów:</w:t>
        <w:br/>
      </w:r>
      <w:r>
        <w:rPr>
          <w:rFonts w:ascii="Arial" w:hAnsi="Arial"/>
          <w:sz w:val="20"/>
          <w:u w:val="single"/>
        </w:rPr>
        <w:t>https://transparency4safety.substack.com/</w:t>
      </w:r>
    </w:p>
    <w:p/>
    <w:p>
      <w:pPr>
        <w:pStyle w:val="Heading1"/>
      </w:pPr>
      <w:r>
        <w:t>Tekst wniosku w Twoim języku</w:t>
      </w:r>
    </w:p>
    <w:p>
      <w:pPr>
        <w:spacing w:after="80"/>
      </w:pPr>
      <w:r>
        <w:rPr>
          <w:rFonts w:ascii="Arial" w:hAnsi="Arial"/>
          <w:b/>
          <w:sz w:val="20"/>
        </w:rPr>
        <w:t>Wniosek obywatela UE – Transparency4Safety</w:t>
      </w:r>
    </w:p>
    <w:p>
      <w:pPr>
        <w:spacing w:after="80"/>
      </w:pPr>
      <w:r>
        <w:rPr>
          <w:rFonts w:ascii="Arial" w:hAnsi="Arial"/>
          <w:sz w:val="20"/>
        </w:rPr>
        <w:t>Szanowni Państwo,</w:t>
      </w:r>
    </w:p>
    <w:p>
      <w:pPr>
        <w:spacing w:after="80"/>
      </w:pPr>
      <w:r>
        <w:rPr>
          <w:rFonts w:ascii="Arial" w:hAnsi="Arial"/>
          <w:sz w:val="20"/>
        </w:rPr>
        <w:t>w ramach inicjatywy Transparency4Safety wnoszę, na podstawie rozporządzenia (WE) nr 1049/2001, o pełne i nieocenzurowane ujawnienie wszystkich istotnych danych dotyczących pozwoleń na dopuszczenie do obrotu dla Comirnaty i Spikevax, a także, w razie potrzeby, dalszych danych dotyczących pozwoleń dla mRNA, aby umożliwić niezależną ponowną ocenę naukową.</w:t>
      </w:r>
    </w:p>
    <w:p>
      <w:pPr>
        <w:spacing w:after="80"/>
      </w:pPr>
      <w:r>
        <w:rPr>
          <w:rFonts w:ascii="Arial" w:hAnsi="Arial"/>
          <w:sz w:val="20"/>
        </w:rPr>
        <w:t>Istnieje nadrzędny interes publiczny w ujawnieniu tych informacji, ponieważ niewłaściwe wymagania dotyczące jakości, bezpieczeństwa i kontroli technologii mRNA-LNP mogłyby prowadzić do możliwych szkód dla zdrowia. Produkty te podano miliony razy osobom zdrowym oraz grupom szczególnie wrażliwym. Dlatego musi być możliwe pełne zweryfikowanie, czy wymagania EMA dotyczące mechanizmu działania, jakości, bezpieczeństwa, kontroli i skutków długoterminowych są wystarczające.</w:t>
      </w:r>
    </w:p>
    <w:p>
      <w:pPr>
        <w:spacing w:after="80"/>
      </w:pPr>
      <w:r>
        <w:rPr>
          <w:rFonts w:ascii="Arial" w:hAnsi="Arial"/>
          <w:sz w:val="20"/>
        </w:rPr>
        <w:t>Dlatego wnoszę o:</w:t>
      </w:r>
    </w:p>
    <w:p>
      <w:pPr>
        <w:spacing w:after="80"/>
      </w:pPr>
      <w:r>
        <w:rPr>
          <w:rFonts w:ascii="Arial" w:hAnsi="Arial"/>
          <w:b/>
          <w:sz w:val="20"/>
        </w:rPr>
        <w:t>1. Pełne ujawnienie</w:t>
      </w:r>
    </w:p>
    <w:p>
      <w:pPr>
        <w:spacing w:after="80"/>
      </w:pPr>
      <w:r>
        <w:rPr>
          <w:rFonts w:ascii="Arial" w:hAnsi="Arial"/>
          <w:sz w:val="20"/>
        </w:rPr>
        <w:t>Wnoszę, aby EMA ujawniła w całości i bez zaciemnień wszystkie dokumenty dopuszczeniowe Common Technical Document (CTD), w tym wszystkie wersje, a także inne istotne dokumenty dotyczące produkcji, kontroli jakości, kontroli serii, pozostałości DNA, jakości RNA, zanieczyszczeń, biodystybucji oraz bezpieczeństwa nieklinicznego i klinicznego, w celu umożliwienia weryfikacji naukowej.</w:t>
      </w:r>
    </w:p>
    <w:p>
      <w:pPr>
        <w:spacing w:after="80"/>
      </w:pPr>
      <w:r>
        <w:rPr>
          <w:rFonts w:ascii="Arial" w:hAnsi="Arial"/>
          <w:b/>
          <w:sz w:val="20"/>
        </w:rPr>
        <w:t>2. Niezależna ponowna ocena</w:t>
      </w:r>
    </w:p>
    <w:p>
      <w:pPr>
        <w:spacing w:after="80"/>
      </w:pPr>
      <w:r>
        <w:rPr>
          <w:rFonts w:ascii="Arial" w:hAnsi="Arial"/>
          <w:sz w:val="20"/>
        </w:rPr>
        <w:t>Wnoszę, aby Comirnaty i Spikevax oraz inne produkty mRNA-LNP przeciw chorobom zakaźnym zostały publicznie i przejrzyście ponownie ocenione naukowo i regulacyjnie przez niezależnych ekspertów wolnych od wpływu przemysłu farmaceutycznego, z uwzględnieniem najwyższego możliwego poziomu ochrony zdrowia. Podstawą ponownej oceny muszą być w pełni ujawnione dokumenty, aktualny stan nauki, zasada ostrożności oraz wysoki poziom ochrony zdrowia wymagany przez prawo Unii.</w:t>
      </w:r>
    </w:p>
    <w:p>
      <w:pPr>
        <w:spacing w:after="80"/>
      </w:pPr>
      <w:r>
        <w:rPr>
          <w:rFonts w:ascii="Arial" w:hAnsi="Arial"/>
          <w:b/>
          <w:sz w:val="20"/>
        </w:rPr>
        <w:t>3. Wyższy standard ochrony</w:t>
      </w:r>
    </w:p>
    <w:p>
      <w:pPr>
        <w:spacing w:after="80"/>
      </w:pPr>
      <w:r>
        <w:rPr>
          <w:rFonts w:ascii="Arial" w:hAnsi="Arial"/>
          <w:sz w:val="20"/>
        </w:rPr>
        <w:t>Wnoszę ponadto, aby wobec wszystkich istniejących i przyszłych pozwoleń dotyczących mRNA przeciw chorobom zakaźnym obowiązywał najwyższy standard ochrony, w szczególności w zakresie pozostałości DNA, jakości serii, biodystybucji, bezpieczeństwa długoterminowego i ryzyk związanych z technologią. Wnoszę o ujawnienie wszystkich dokumentów wskazujących, dlaczego wobec szczepionek mRNA-LNP przeciw chorobom zakaźnym nie zastosowano tych samych surowych standardów ochrony, badań i kontroli jak wobec porównywalnych produktów leczniczych opartych na kwasach nukleinowych lub istotnych dla terapii genowej.</w:t>
      </w:r>
    </w:p>
    <w:p>
      <w:pPr>
        <w:spacing w:after="80"/>
      </w:pPr>
      <w:r>
        <w:rPr>
          <w:rFonts w:ascii="Arial" w:hAnsi="Arial"/>
          <w:b/>
          <w:sz w:val="20"/>
        </w:rPr>
        <w:t>4. Procedura z art. 20 i natychmiastowe zawieszenie</w:t>
      </w:r>
    </w:p>
    <w:p>
      <w:pPr>
        <w:spacing w:after="80"/>
      </w:pPr>
      <w:r>
        <w:rPr>
          <w:rFonts w:ascii="Arial" w:hAnsi="Arial"/>
          <w:sz w:val="20"/>
        </w:rPr>
        <w:t>Wnoszę, aby EMA niezwłocznie wszczęła procedurę na podstawie art. 20 rozporządzenia (WE) nr 726/2004 w celu natychmiastowego zawieszenia stosowania Comirnaty i Spikevax oraz porównywalnych produktów mRNA-LNP przeciw chorobom zakaźnym. Należy to postanowić zgodnie z zasadą ostrożności do czasu wystarczającego wyjaśnienia wszystkich aspektów bezpieczeństwa tych produktów. Jeżeli nie zostanie wszczęte natychmiastowe zawieszenie wszystkich pozwoleń dotyczących mRNA, wnoszę o ujawnienie wszystkich dokumentów wskazujących, dlaczego z tego zrezygnowano. Obejmuje to na przykład raporty dla Komisji Europejskiej, oceny wewnętrzne, opinie, decyzje oraz korespondencję e-mail między Komisją a EMA.</w:t>
      </w:r>
    </w:p>
    <w:p>
      <w:pPr>
        <w:spacing w:after="80"/>
      </w:pPr>
      <w:r>
        <w:rPr>
          <w:rFonts w:ascii="Arial" w:hAnsi="Arial"/>
          <w:b/>
          <w:sz w:val="20"/>
        </w:rPr>
        <w:t>5. Publiczne wysłuchanie</w:t>
      </w:r>
    </w:p>
    <w:p>
      <w:pPr>
        <w:spacing w:after="80"/>
      </w:pPr>
      <w:r>
        <w:rPr>
          <w:rFonts w:ascii="Arial" w:hAnsi="Arial"/>
          <w:b/>
          <w:sz w:val="20"/>
        </w:rPr>
        <w:t>6. Publicznie dostępna baza danych</w:t>
      </w:r>
    </w:p>
    <w:p>
      <w:pPr>
        <w:spacing w:after="80"/>
      </w:pPr>
      <w:r>
        <w:rPr>
          <w:rFonts w:ascii="Arial" w:hAnsi="Arial"/>
          <w:sz w:val="20"/>
        </w:rPr>
        <w:t>Wnoszę, aby wszystkie moje prawa wynikające z rozporządzenia (WE) nr 1049/2001 były respektowane oraz aby wszystkie ujawnione dokumenty, także z innych wniosków, zostały udostępnione wszystkim obywatelom UE w publicznie dostępnej bazie danych, jak EMA już zapowiedziała.</w:t>
      </w:r>
    </w:p>
    <w:p>
      <w:pPr>
        <w:spacing w:after="80"/>
      </w:pPr>
      <w:r>
        <w:rPr>
          <w:rFonts w:ascii="Arial" w:hAnsi="Arial"/>
          <w:sz w:val="20"/>
        </w:rPr>
        <w:t>Wnoszę, aby EMA niezwłocznie zwołała wysłuchanie z udziałem niezależnych ekspertów wolnych od wpływu przemysłu farmaceutycznego, EMA oraz właściwych komitetów. Udział online w ramach inicjatywy Transparency4Safety musi być możliwy. Wysłuchanie powinno przejrzyście omówić kwestie bezpieczeństwa i jakości podniesione przez tę inicjatywę.</w:t>
      </w:r>
    </w:p>
    <w:p>
      <w:pPr>
        <w:spacing w:after="80"/>
      </w:pPr>
      <w:r>
        <w:rPr>
          <w:rFonts w:ascii="Arial" w:hAnsi="Arial"/>
          <w:sz w:val="20"/>
        </w:rPr>
        <w:t>Niniejszy wniosek służy ochronie zdrowia publicznego, zasadzie ostrożności, kontroli demokratycznej oraz prawu obywateli UE do przejrzystości.</w:t>
      </w:r>
    </w:p>
    <w:p>
      <w:pPr>
        <w:spacing w:after="80"/>
      </w:pPr>
      <w:r>
        <w:rPr>
          <w:rFonts w:ascii="Arial" w:hAnsi="Arial"/>
          <w:sz w:val="20"/>
        </w:rPr>
        <w:t>Z poważaniem,</w:t>
        <w:br/>
        <w:t>[Imię i nazwisko]</w:t>
      </w:r>
    </w:p>
    <w:p>
      <w:pPr>
        <w:spacing w:after="80"/>
      </w:pPr>
      <w:r>
        <w:rPr>
          <w:rFonts w:ascii="Arial" w:hAnsi="Arial"/>
          <w:sz w:val="20"/>
        </w:rPr>
        <w:t>Instrukcja</w:t>
      </w:r>
    </w:p>
    <w:p>
      <w:r>
        <w:br w:type="page"/>
      </w:r>
    </w:p>
    <w:p>
      <w:pPr>
        <w:pStyle w:val="Heading1"/>
      </w:pPr>
      <w:r>
        <w:t>Original English text</w:t>
      </w:r>
    </w:p>
    <w:p>
      <w:pPr>
        <w:spacing w:after="80"/>
      </w:pPr>
      <w:r>
        <w:rPr>
          <w:rFonts w:ascii="Arial" w:hAnsi="Arial"/>
          <w:b/>
          <w:sz w:val="20"/>
        </w:rPr>
        <w:t>EU Citizen Request – Transparency4Safety</w:t>
      </w:r>
    </w:p>
    <w:p>
      <w:pPr>
        <w:spacing w:after="80"/>
      </w:pPr>
      <w:r>
        <w:rPr>
          <w:rFonts w:ascii="Arial" w:hAnsi="Arial"/>
          <w:sz w:val="20"/>
        </w:rPr>
        <w:t>Within the framework of the Transparency4Safety (T4S) Initiative ongoing since February 2025, I request, pursuant to Regulation (EC) No 1049/2001, the full and unredacted disclosure of all essential marketing-authorisation data concerning Comirnaty and Spikevax, and, where applicable, further mRNA authorisation data, in order to enable an independent scientific reassessment.</w:t>
      </w:r>
    </w:p>
    <w:p>
      <w:pPr>
        <w:spacing w:after="80"/>
      </w:pPr>
      <w:r>
        <w:rPr>
          <w:rFonts w:ascii="Arial" w:hAnsi="Arial"/>
          <w:sz w:val="20"/>
        </w:rPr>
        <w:t>There is an overriding public interest in disclosure, because possible health harms may have been caused by an insufficient regulatory assessment of the mRNA-LNP technology, including quality, safety and control requirements. I therefore request:</w:t>
      </w:r>
    </w:p>
    <w:p>
      <w:pPr>
        <w:spacing w:after="80"/>
      </w:pPr>
      <w:r>
        <w:rPr>
          <w:rFonts w:ascii="Arial" w:hAnsi="Arial"/>
          <w:b/>
          <w:sz w:val="20"/>
        </w:rPr>
        <w:t>Full disclosure</w:t>
      </w:r>
    </w:p>
    <w:p>
      <w:pPr>
        <w:spacing w:after="80"/>
      </w:pPr>
      <w:r>
        <w:rPr>
          <w:rFonts w:ascii="Arial" w:hAnsi="Arial"/>
          <w:sz w:val="20"/>
        </w:rPr>
        <w:t>I request that EMA immediately disclose, in full and without redactions, all authorisation documents of the Common Technical Document (CTD), including all versions, for scientific review, as well as further relevant documents concerning manufacturing, quality control, batch testing, residual DNA, RNA quality, impurities, biodistribution, and non-clinical and clinical safety.</w:t>
      </w:r>
    </w:p>
    <w:p>
      <w:pPr>
        <w:spacing w:after="80"/>
      </w:pPr>
      <w:r>
        <w:rPr>
          <w:rFonts w:ascii="Arial" w:hAnsi="Arial"/>
          <w:b/>
          <w:sz w:val="20"/>
        </w:rPr>
        <w:t>Independent reassessment</w:t>
      </w:r>
    </w:p>
    <w:p>
      <w:pPr>
        <w:spacing w:after="80"/>
      </w:pPr>
      <w:r>
        <w:rPr>
          <w:rFonts w:ascii="Arial" w:hAnsi="Arial"/>
          <w:sz w:val="20"/>
        </w:rPr>
        <w:t>I request that Comirnaty and Spikevax, as well as other mRNA-LNP products against infectious diseases, be publicly and transparently reassessed scientifically and regulatorily by independent experts free from pharmaceutical-industry influence, with a view to the highest possible protection of health. The reassessment must be based on the fully disclosed documents, the current state of science, the precautionary principle and the high level of health protection required under Union law. The expert letters submitted to EMA within the T4S Initiative must form an essential basis for this reassessment.</w:t>
      </w:r>
    </w:p>
    <w:p>
      <w:pPr>
        <w:spacing w:after="80"/>
      </w:pPr>
      <w:r>
        <w:rPr>
          <w:rFonts w:ascii="Arial" w:hAnsi="Arial"/>
          <w:b/>
          <w:sz w:val="20"/>
        </w:rPr>
        <w:t>Highest health standard</w:t>
      </w:r>
    </w:p>
    <w:p>
      <w:pPr>
        <w:spacing w:after="80"/>
      </w:pPr>
      <w:r>
        <w:rPr>
          <w:rFonts w:ascii="Arial" w:hAnsi="Arial"/>
          <w:sz w:val="20"/>
        </w:rPr>
        <w:t>I further request that the highest health-protection standard apply to all existing and future mRNA authorisations against infectious diseases, in particular with regard to residual DNA, batch quality, biodistribution, long-term safety and technology-related risks. I request disclosure of all documents showing why the same strict protection, testing and control standards were not applied to mRNA-LNP vaccines against infectious diseases as to comparable nucleic-acid-based or gene-therapy-relevant medicinal products.</w:t>
      </w:r>
    </w:p>
    <w:p>
      <w:pPr>
        <w:spacing w:after="80"/>
      </w:pPr>
      <w:r>
        <w:rPr>
          <w:rFonts w:ascii="Arial" w:hAnsi="Arial"/>
          <w:b/>
          <w:sz w:val="20"/>
        </w:rPr>
        <w:t>Article 20 procedure and immediate suspension</w:t>
      </w:r>
    </w:p>
    <w:p>
      <w:pPr>
        <w:spacing w:after="80"/>
      </w:pPr>
      <w:r>
        <w:rPr>
          <w:rFonts w:ascii="Arial" w:hAnsi="Arial"/>
          <w:sz w:val="20"/>
        </w:rPr>
        <w:t>I request that EMA immediately initiate a procedure under Article 20 of Regulation (EC) No 726/2004 for the immediate suspension of the use of Comirnaty and Spikevax, as well as comparable mRNA-LNP products against infectious diseases, applying the precautionary principle in order to enable an independent reassessment of these products. If no immediate suspension of all mRNA authorisations is initiated, I request disclosure of all documents showing why this was not done, including reports to the European Commission, internal assessments, opinions, decisions and emails between the Commission and EMA.</w:t>
      </w:r>
    </w:p>
    <w:p>
      <w:pPr>
        <w:spacing w:after="80"/>
      </w:pPr>
      <w:r>
        <w:rPr>
          <w:rFonts w:ascii="Arial" w:hAnsi="Arial"/>
          <w:b/>
          <w:sz w:val="20"/>
        </w:rPr>
        <w:t>Public hearing</w:t>
      </w:r>
    </w:p>
    <w:p>
      <w:pPr>
        <w:spacing w:after="80"/>
      </w:pPr>
      <w:r>
        <w:rPr>
          <w:rFonts w:ascii="Arial" w:hAnsi="Arial"/>
          <w:sz w:val="20"/>
        </w:rPr>
        <w:t>I request that EMA convene a timely hearing with independent experts free from pharmaceutical-industry influence, EMA and the competent committees, allowing online participation within the Transparency4Safety Initiative, and transparently addressing the safety and quality questions raised by this initiative.</w:t>
      </w:r>
    </w:p>
    <w:p>
      <w:pPr>
        <w:spacing w:after="80"/>
      </w:pPr>
      <w:r>
        <w:rPr>
          <w:rFonts w:ascii="Arial" w:hAnsi="Arial"/>
          <w:b/>
          <w:sz w:val="20"/>
        </w:rPr>
        <w:t>Publicly accessible database</w:t>
      </w:r>
    </w:p>
    <w:p>
      <w:pPr>
        <w:spacing w:after="80"/>
      </w:pPr>
      <w:r>
        <w:rPr>
          <w:rFonts w:ascii="Arial" w:hAnsi="Arial"/>
          <w:sz w:val="20"/>
        </w:rPr>
        <w:t>I request that all my rights under Regulation (EC) No 1049/2001 be respected and that all disclosed documents, including documents disclosed in response to other requests, be made available to all EU citizens in a publicly accessible database, as EMA has already envisaged.</w:t>
      </w:r>
    </w:p>
    <w:p>
      <w:pPr>
        <w:spacing w:after="80"/>
      </w:pPr>
      <w:r>
        <w:rPr>
          <w:rFonts w:ascii="Arial" w:hAnsi="Arial"/>
          <w:sz w:val="20"/>
        </w:rPr>
        <w:t>This request serves the protection of public health, the precautionary principle, democratic oversight and the right of EU citizens to transparency.</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