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Kif tingħaqad mal-Inizjattiva Transparency4Safety</w:t>
      </w:r>
    </w:p>
    <w:p>
      <w:pPr>
        <w:spacing w:after="120"/>
      </w:pPr>
      <w:r>
        <w:rPr>
          <w:rFonts w:ascii="Arial" w:hAnsi="Arial"/>
          <w:b/>
          <w:sz w:val="20"/>
        </w:rPr>
        <w:t>1. Iftaħ il-formola ta’ kuntatt tal-EMA:</w:t>
        <w:br/>
      </w:r>
      <w:r>
        <w:rPr>
          <w:rFonts w:ascii="Arial" w:hAnsi="Arial"/>
          <w:sz w:val="20"/>
          <w:u w:val="single"/>
        </w:rPr>
        <w:t>https://www.ema.europa.eu/en/about-us/contacts-european-medicines-agency/send-question-european-medicines-agency</w:t>
      </w:r>
    </w:p>
    <w:p>
      <w:pPr>
        <w:spacing w:after="80"/>
      </w:pPr>
      <w:r>
        <w:rPr>
          <w:rFonts w:ascii="Arial" w:hAnsi="Arial"/>
          <w:sz w:val="20"/>
        </w:rPr>
        <w:t>2. Imla l-formola kif ġej: agħżel il-kategorija Consumer → I want an unpublished document.</w:t>
      </w:r>
    </w:p>
    <w:p>
      <w:pPr>
        <w:spacing w:after="80"/>
      </w:pPr>
      <w:r>
        <w:rPr>
          <w:rFonts w:ascii="Arial" w:hAnsi="Arial"/>
          <w:sz w:val="20"/>
        </w:rPr>
        <w:t>3. Ikkopja u waħħal it-test tat-talba bl-Ingliż jew bil-lingwa tal-għażla tiegħek.</w:t>
      </w:r>
    </w:p>
    <w:p>
      <w:pPr>
        <w:spacing w:after="80"/>
      </w:pPr>
      <w:r>
        <w:rPr>
          <w:rFonts w:ascii="Arial" w:hAnsi="Arial"/>
          <w:sz w:val="20"/>
        </w:rPr>
        <w:t>4. Wara s-sottomissjoni, stenna l-email ta’ konferma mill-EMA u żomm in-numru ASK b’attenzjoni. Ingħaqad biss jekk int verament interessat li ssegwi din il-kwistjoni maż-żmien. Il-proċeduri tal-EMA jistgħu jkunu bil-mod ħafna; żomm in-numru ASK u ċċekkja l-inbox u l-folder tal-ispam tiegħek.</w:t>
      </w:r>
    </w:p>
    <w:p>
      <w:pPr>
        <w:spacing w:after="120"/>
      </w:pPr>
      <w:r>
        <w:rPr>
          <w:rFonts w:ascii="Arial" w:hAnsi="Arial"/>
          <w:b/>
          <w:sz w:val="20"/>
        </w:rPr>
        <w:t>5. Abbona biex tibqa’ infurmat u tirċievi aktar aġġornamenti u ittri miftuħa ta’ esperti:</w:t>
        <w:br/>
      </w:r>
      <w:r>
        <w:rPr>
          <w:rFonts w:ascii="Arial" w:hAnsi="Arial"/>
          <w:sz w:val="20"/>
          <w:u w:val="single"/>
        </w:rPr>
        <w:t>https://transparency4safety.substack.com/</w:t>
      </w:r>
    </w:p>
    <w:p/>
    <w:p>
      <w:pPr>
        <w:pStyle w:val="Heading1"/>
      </w:pPr>
      <w:r>
        <w:t>It-test tat-talba bil-lingwa tiegħek</w:t>
      </w:r>
    </w:p>
    <w:p>
      <w:pPr>
        <w:spacing w:after="80"/>
      </w:pPr>
      <w:r>
        <w:rPr>
          <w:rFonts w:ascii="Arial" w:hAnsi="Arial"/>
          <w:b/>
          <w:sz w:val="20"/>
        </w:rPr>
        <w:t>Talba ta’ ċittadin tal-UE – Transparency4Safety</w:t>
      </w:r>
    </w:p>
    <w:p>
      <w:pPr>
        <w:spacing w:after="80"/>
      </w:pPr>
      <w:r>
        <w:rPr>
          <w:rFonts w:ascii="Arial" w:hAnsi="Arial"/>
          <w:sz w:val="20"/>
        </w:rPr>
        <w:t>Sinjuri,</w:t>
      </w:r>
    </w:p>
    <w:p>
      <w:pPr>
        <w:spacing w:after="80"/>
      </w:pPr>
      <w:r>
        <w:rPr>
          <w:rFonts w:ascii="Arial" w:hAnsi="Arial"/>
          <w:sz w:val="20"/>
        </w:rPr>
        <w:t>bħala parti mill-Inizjattiva Transparency4Safety, nitlob, skont ir-Regolament (KE) Nru 1049/2001, l-iżvelar sħiħ u mhux iċċensurat tad-data essenzjali kollha tal-awtorizzazzjoni għat-tqegħid fis-suq dwar Comirnaty u Spikevax, kif ukoll, fejn rilevanti, data oħra ta’ awtorizzazzjoni dwar mRNA, sabiex tkun possibbli rivalutazzjoni xjentifika indipendenti.</w:t>
      </w:r>
    </w:p>
    <w:p>
      <w:pPr>
        <w:spacing w:after="80"/>
      </w:pPr>
      <w:r>
        <w:rPr>
          <w:rFonts w:ascii="Arial" w:hAnsi="Arial"/>
          <w:sz w:val="20"/>
        </w:rPr>
        <w:t>Hemm interess pubbliku prevalenti fl-iżvelar, għaliex rekwiżiti mhux xierqa dwar il-kwalità, is-sigurtà u l-kontroll tat-teknoloġija mRNA-LNP jistgħu jwasslu għal danni possibbli għas-saħħa. Dawn il-prodotti ngħataw miljuni ta’ drabi lil persuni b’saħħithom u lil gruppi partikolarment vulnerabbli. Għalhekk għandu jkun kompletament verifikabbli jekk ir-rekwiżiti ta’ awtorizzazzjoni tal-EMA dwar il-mod ta’ azzjoni, il-kwalità, is-sigurtà, il-kontroll u l-effetti fit-tul humiex biżżejjed.</w:t>
      </w:r>
    </w:p>
    <w:p>
      <w:pPr>
        <w:spacing w:after="80"/>
      </w:pPr>
      <w:r>
        <w:rPr>
          <w:rFonts w:ascii="Arial" w:hAnsi="Arial"/>
          <w:sz w:val="20"/>
        </w:rPr>
        <w:t>Għalhekk nitlob:</w:t>
      </w:r>
    </w:p>
    <w:p>
      <w:pPr>
        <w:spacing w:after="80"/>
      </w:pPr>
      <w:r>
        <w:rPr>
          <w:rFonts w:ascii="Arial" w:hAnsi="Arial"/>
          <w:b/>
          <w:sz w:val="20"/>
        </w:rPr>
        <w:t>1. Żvelar sħiħ</w:t>
      </w:r>
    </w:p>
    <w:p>
      <w:pPr>
        <w:spacing w:after="80"/>
      </w:pPr>
      <w:r>
        <w:rPr>
          <w:rFonts w:ascii="Arial" w:hAnsi="Arial"/>
          <w:sz w:val="20"/>
        </w:rPr>
        <w:t>Nitlob li l-EMA tiżvela bis-sħiħ u mingħajr tħassir id-dokumenti kollha tal-awtorizzazzjoni fil-Common Technical Document (CTD), inklużi l-verżjonijiet kollha, kif ukoll dokumenti rilevanti oħra dwar il-manifattura, il-kontroll tal-kwalità, l-ittestjar tal-lottijiet, DNA residwu, kwalità tal-RNA, impuritajiet, bijodistribuzzjoni u sigurtà mhux klinika u klinika għal verifika xjentifika.</w:t>
      </w:r>
    </w:p>
    <w:p>
      <w:pPr>
        <w:spacing w:after="80"/>
      </w:pPr>
      <w:r>
        <w:rPr>
          <w:rFonts w:ascii="Arial" w:hAnsi="Arial"/>
          <w:b/>
          <w:sz w:val="20"/>
        </w:rPr>
        <w:t>2. Rivalutazzjoni indipendenti</w:t>
      </w:r>
    </w:p>
    <w:p>
      <w:pPr>
        <w:spacing w:after="80"/>
      </w:pPr>
      <w:r>
        <w:rPr>
          <w:rFonts w:ascii="Arial" w:hAnsi="Arial"/>
          <w:sz w:val="20"/>
        </w:rPr>
        <w:t>Nitlob li Comirnaty u Spikevax, kif ukoll prodotti oħra mRNA-LNP kontra mard infettiv, jiġu rivalutati xjentifikament u regolatorjament b’mod pubbliku u trasparenti minn esperti indipendenti u ħielsa mill-influwenza tal-industrija farmaċewtika, bil-għan tal-ogħla livell possibbli ta’ protezzjoni tas-saħħa. Ir-rivalutazzjoni għandha tkun ibbażata fuq id-dokumenti żvelati bis-sħiħ, l-istat attwali tax-xjenza, il-prinċipju ta’ prekawzjoni u l-livell għoli ta’ protezzjoni tas-saħħa meħtieġ mid-dritt tal-Unjoni.</w:t>
      </w:r>
    </w:p>
    <w:p>
      <w:pPr>
        <w:spacing w:after="80"/>
      </w:pPr>
      <w:r>
        <w:rPr>
          <w:rFonts w:ascii="Arial" w:hAnsi="Arial"/>
          <w:b/>
          <w:sz w:val="20"/>
        </w:rPr>
        <w:t>3. Standard ogħla ta’ protezzjoni</w:t>
      </w:r>
    </w:p>
    <w:p>
      <w:pPr>
        <w:spacing w:after="80"/>
      </w:pPr>
      <w:r>
        <w:rPr>
          <w:rFonts w:ascii="Arial" w:hAnsi="Arial"/>
          <w:sz w:val="20"/>
        </w:rPr>
        <w:t>Nitlob ukoll li l-ogħla standard ta’ protezzjoni japplika għall-awtorizzazzjonijiet mRNA kollha eżistenti u futuri kontra mard infettiv, b’mod partikolari għal DNA residwu, kwalità tal-lottijiet, bijodistribuzzjoni, sigurtà fit-tul u riskji marbuta mat-teknoloġija. Nitlob l-iżvelar tad-dokumenti kollha li juru għaliex għall-vaċċini mRNA-LNP kontra mard infettiv ma ġewx applikati l-istess standards stretti ta’ protezzjoni, ittestjar u kontroll bħal għal prodotti mediċinali komparabbli bbażati fuq aċidi nukleiċi jew rilevanti għat-terapija ġenetika.</w:t>
      </w:r>
    </w:p>
    <w:p>
      <w:pPr>
        <w:spacing w:after="80"/>
      </w:pPr>
      <w:r>
        <w:rPr>
          <w:rFonts w:ascii="Arial" w:hAnsi="Arial"/>
          <w:b/>
          <w:sz w:val="20"/>
        </w:rPr>
        <w:t>4. Proċedura tal-Artikolu 20 u sospensjoni immedjata</w:t>
      </w:r>
    </w:p>
    <w:p>
      <w:pPr>
        <w:spacing w:after="80"/>
      </w:pPr>
      <w:r>
        <w:rPr>
          <w:rFonts w:ascii="Arial" w:hAnsi="Arial"/>
          <w:sz w:val="20"/>
        </w:rPr>
        <w:t>Nitlob li l-EMA tibda minnufih proċedura skont l-Artikolu 20 tar-Regolament (KE) Nru 726/2004 għas-sospensjoni immedjata tal-użu ta’ Comirnaty u Spikevax, kif ukoll ta’ prodotti mRNA-LNP komparabbli kontra mard infettiv. Dan għandu jiġi deċiż bl-applikazzjoni tal-prinċipju ta’ prekawzjoni sakemm l-aspetti kollha tas-sigurtà ta’ dawn il-prodotti jkunu ċċarati biżżejjed. Jekk ma tinbediex sospensjoni immedjata tal-awtorizzazzjonijiet mRNA kollha, nitlob l-iżvelar tad-dokumenti kollha li juru għaliex dan ma sarx. Dan jinkludi, pereżempju, rapporti lill-Kummissjoni Ewropea, valutazzjonijiet interni, opinjonijiet, deċiżjonijiet u emails bejn il-Kummissjoni u l-EMA.</w:t>
      </w:r>
    </w:p>
    <w:p>
      <w:pPr>
        <w:spacing w:after="80"/>
      </w:pPr>
      <w:r>
        <w:rPr>
          <w:rFonts w:ascii="Arial" w:hAnsi="Arial"/>
          <w:b/>
          <w:sz w:val="20"/>
        </w:rPr>
        <w:t>5. Smigħ pubbliku</w:t>
      </w:r>
    </w:p>
    <w:p>
      <w:pPr>
        <w:spacing w:after="80"/>
      </w:pPr>
      <w:r>
        <w:rPr>
          <w:rFonts w:ascii="Arial" w:hAnsi="Arial"/>
          <w:b/>
          <w:sz w:val="20"/>
        </w:rPr>
        <w:t>6. Bażi tad-data aċċessibbli għall-pubbliku</w:t>
      </w:r>
    </w:p>
    <w:p>
      <w:pPr>
        <w:spacing w:after="80"/>
      </w:pPr>
      <w:r>
        <w:rPr>
          <w:rFonts w:ascii="Arial" w:hAnsi="Arial"/>
          <w:sz w:val="20"/>
        </w:rPr>
        <w:t>Nitlob li d-drittijiet kollha tiegħi skont ir-Regolament (KE) Nru 1049/2001 jiġu rispettati u li d-dokumenti kollha żvelati, inklużi dokumenti minn talbiet oħra, ikunu disponibbli għaċ-ċittadini kollha tal-UE f’bażi tad-data aċċessibbli għall-pubbliku, kif l-EMA diġà indikat.</w:t>
      </w:r>
    </w:p>
    <w:p>
      <w:pPr>
        <w:spacing w:after="80"/>
      </w:pPr>
      <w:r>
        <w:rPr>
          <w:rFonts w:ascii="Arial" w:hAnsi="Arial"/>
          <w:sz w:val="20"/>
        </w:rPr>
        <w:t>Nitlob li l-EMA tlaqqa’ smigħ f’waqtu ma’ esperti indipendenti u ħielsa mill-influwenza tal-industrija farmaċewtika, l-EMA u l-kumitati kompetenti. Għandha tkun possibbli parteċipazzjoni online fil-qafas tal-Inizjattiva Transparency4Safety. Is-smigħ għandu jittratta b’mod trasparenti l-mistoqsijiet dwar is-sigurtà u l-kwalità mqajma minn din l-inizjattiva.</w:t>
      </w:r>
    </w:p>
    <w:p>
      <w:pPr>
        <w:spacing w:after="80"/>
      </w:pPr>
      <w:r>
        <w:rPr>
          <w:rFonts w:ascii="Arial" w:hAnsi="Arial"/>
          <w:sz w:val="20"/>
        </w:rPr>
        <w:t>Din it-talba sservi għall-protezzjoni tas-saħħa pubblika, il-prinċipju ta’ prekawzjoni, il-kontroll demokratiku u d-dritt taċ-ċittadini tal-UE għat-trasparenza.</w:t>
      </w:r>
    </w:p>
    <w:p>
      <w:pPr>
        <w:spacing w:after="80"/>
      </w:pPr>
      <w:r>
        <w:rPr>
          <w:rFonts w:ascii="Arial" w:hAnsi="Arial"/>
          <w:sz w:val="20"/>
        </w:rPr>
        <w:t>Dejjem tiegħek,</w:t>
        <w:br/>
        <w:t>[Isem]</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