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Kā pievienoties Transparency4Safety iniciatīvai</w:t>
      </w:r>
    </w:p>
    <w:p>
      <w:pPr>
        <w:spacing w:after="120"/>
      </w:pPr>
      <w:r>
        <w:rPr>
          <w:rFonts w:ascii="Arial" w:hAnsi="Arial"/>
          <w:b/>
          <w:sz w:val="20"/>
        </w:rPr>
        <w:t>1. Atveriet EMA kontaktformu:</w:t>
        <w:br/>
      </w:r>
      <w:r>
        <w:rPr>
          <w:rFonts w:ascii="Arial" w:hAnsi="Arial"/>
          <w:sz w:val="20"/>
          <w:u w:val="single"/>
        </w:rPr>
        <w:t>https://www.ema.europa.eu/en/about-us/contacts-european-medicines-agency/send-question-european-medicines-agency</w:t>
      </w:r>
    </w:p>
    <w:p>
      <w:pPr>
        <w:spacing w:after="80"/>
      </w:pPr>
      <w:r>
        <w:rPr>
          <w:rFonts w:ascii="Arial" w:hAnsi="Arial"/>
          <w:sz w:val="20"/>
        </w:rPr>
        <w:t>2. Aizpildiet veidlapu šādi: izvēlieties kategoriju Consumer → I want an unpublished document.</w:t>
      </w:r>
    </w:p>
    <w:p>
      <w:pPr>
        <w:spacing w:after="80"/>
      </w:pPr>
      <w:r>
        <w:rPr>
          <w:rFonts w:ascii="Arial" w:hAnsi="Arial"/>
          <w:sz w:val="20"/>
        </w:rPr>
        <w:t>3. Nokopējiet un ielīmējiet pieprasījuma tekstu angļu valodā vai jūsu izvēlētajā valodā.</w:t>
      </w:r>
    </w:p>
    <w:p>
      <w:pPr>
        <w:spacing w:after="80"/>
      </w:pPr>
      <w:r>
        <w:rPr>
          <w:rFonts w:ascii="Arial" w:hAnsi="Arial"/>
          <w:sz w:val="20"/>
        </w:rPr>
        <w:t>4. Pēc nosūtīšanas gaidiet EMA apstiprinājuma e-pastu un rūpīgi saglabājiet ASK numuru. Pievienojieties tikai tad, ja patiesi vēlaties ilgtermiņā sekot šim jautājumam. EMA procedūras var būt ļoti lēnas; saglabājiet ASK numuru un pārbaudiet iesūtni un surogātpastu.</w:t>
      </w:r>
    </w:p>
    <w:p>
      <w:pPr>
        <w:spacing w:after="120"/>
      </w:pPr>
      <w:r>
        <w:rPr>
          <w:rFonts w:ascii="Arial" w:hAnsi="Arial"/>
          <w:b/>
          <w:sz w:val="20"/>
        </w:rPr>
        <w:t>5. Abonējiet, lai saņemtu jaunāko informāciju, atjauninājumus un ekspertu atklātās vēstules:</w:t>
        <w:br/>
      </w:r>
      <w:r>
        <w:rPr>
          <w:rFonts w:ascii="Arial" w:hAnsi="Arial"/>
          <w:sz w:val="20"/>
          <w:u w:val="single"/>
        </w:rPr>
        <w:t>https://transparency4safety.substack.com/</w:t>
      </w:r>
    </w:p>
    <w:p/>
    <w:p>
      <w:pPr>
        <w:pStyle w:val="Heading1"/>
      </w:pPr>
      <w:r>
        <w:t>Pieprasījuma teksts jūsu valodā</w:t>
      </w:r>
    </w:p>
    <w:p>
      <w:pPr>
        <w:spacing w:after="80"/>
      </w:pPr>
      <w:r>
        <w:rPr>
          <w:rFonts w:ascii="Arial" w:hAnsi="Arial"/>
          <w:b/>
          <w:sz w:val="20"/>
        </w:rPr>
        <w:t>ES pilsoņa pieprasījums – Transparency4Safety</w:t>
      </w:r>
    </w:p>
    <w:p>
      <w:pPr>
        <w:spacing w:after="80"/>
      </w:pPr>
      <w:r>
        <w:rPr>
          <w:rFonts w:ascii="Arial" w:hAnsi="Arial"/>
          <w:sz w:val="20"/>
        </w:rPr>
        <w:t>Cienījamās dāmas un godātie kungi,</w:t>
      </w:r>
    </w:p>
    <w:p>
      <w:pPr>
        <w:spacing w:after="80"/>
      </w:pPr>
      <w:r>
        <w:rPr>
          <w:rFonts w:ascii="Arial" w:hAnsi="Arial"/>
          <w:sz w:val="20"/>
        </w:rPr>
        <w:t>Transparency4Safety iniciatīvas ietvaros es, pamatojoties uz Regulu (EK) Nr. 1049/2001, pieprasu pilnībā un bez aizklājumiem atklāt visus būtiskos tirdzniecības atļaujas datus par Comirnaty un Spikevax, kā arī attiecīgā gadījumā citus mRNA atļaujas datus, lai nodrošinātu neatkarīgu zinātnisku pārvērtēšanu.</w:t>
      </w:r>
    </w:p>
    <w:p>
      <w:pPr>
        <w:spacing w:after="80"/>
      </w:pPr>
      <w:r>
        <w:rPr>
          <w:rFonts w:ascii="Arial" w:hAnsi="Arial"/>
          <w:sz w:val="20"/>
        </w:rPr>
        <w:t>Pastāv pārāks sabiedrības intereses pamats atklāšanai, jo neatbilstošas prasības mRNA-LNP tehnoloģijas kvalitātei, drošumam un kontrolei varētu radīt iespējamu kaitējumu veselībai. Šie produkti ir ievadīti miljoniem reižu veseliem cilvēkiem un īpaši neaizsargātām grupām. Tādēļ jābūt pilnībā pārbaudāmam, vai EMA atļaujas prasības attiecībā uz darbības veidu, kvalitāti, drošumu, kontroli un ilgtermiņa sekām ir pietiekamas.</w:t>
      </w:r>
    </w:p>
    <w:p>
      <w:pPr>
        <w:spacing w:after="80"/>
      </w:pPr>
      <w:r>
        <w:rPr>
          <w:rFonts w:ascii="Arial" w:hAnsi="Arial"/>
          <w:sz w:val="20"/>
        </w:rPr>
        <w:t>Tāpēc es pieprasu:</w:t>
      </w:r>
    </w:p>
    <w:p>
      <w:pPr>
        <w:spacing w:after="80"/>
      </w:pPr>
      <w:r>
        <w:rPr>
          <w:rFonts w:ascii="Arial" w:hAnsi="Arial"/>
          <w:b/>
          <w:sz w:val="20"/>
        </w:rPr>
        <w:t>1. Pilnīga atklāšana</w:t>
      </w:r>
    </w:p>
    <w:p>
      <w:pPr>
        <w:spacing w:after="80"/>
      </w:pPr>
      <w:r>
        <w:rPr>
          <w:rFonts w:ascii="Arial" w:hAnsi="Arial"/>
          <w:sz w:val="20"/>
        </w:rPr>
        <w:t>Es pieprasu, lai EMA pilnībā un bez aizklājumiem atklāj visus Common Technical Document (CTD) atļaujas dokumentus, tostarp visas versijas, kā arī citus attiecīgos dokumentus par ražošanu, kvalitātes kontroli, partiju pārbaudēm, atlikuma DNS, RNS kvalitāti, piemaisījumiem, bioloģisko izplatīšanos, kā arī neklīnisko un klīnisko drošumu zinātniskai pārbaudei.</w:t>
      </w:r>
    </w:p>
    <w:p>
      <w:pPr>
        <w:spacing w:after="80"/>
      </w:pPr>
      <w:r>
        <w:rPr>
          <w:rFonts w:ascii="Arial" w:hAnsi="Arial"/>
          <w:b/>
          <w:sz w:val="20"/>
        </w:rPr>
        <w:t>2. Neatkarīga pārvērtēšana</w:t>
      </w:r>
    </w:p>
    <w:p>
      <w:pPr>
        <w:spacing w:after="80"/>
      </w:pPr>
      <w:r>
        <w:rPr>
          <w:rFonts w:ascii="Arial" w:hAnsi="Arial"/>
          <w:sz w:val="20"/>
        </w:rPr>
        <w:t>Es pieprasu, lai Comirnaty un Spikevax, kā arī citi mRNA-LNP produkti pret infekcijas slimībām tiktu publiski un pārredzami zinātniski un regulatīvi pārvērtēti neatkarīgu ekspertu vadībā, kuri nav farmācijas nozares ietekmē, ņemot vērā iespējami augstāko veselības aizsardzības līmeni. Pārvērtēšanai jābalstās uz pilnībā atklātajiem dokumentiem, pašreizējo zinātnes līmeni, piesardzības principu un Savienības tiesībās prasīto augsto veselības aizsardzības līmeni.</w:t>
      </w:r>
    </w:p>
    <w:p>
      <w:pPr>
        <w:spacing w:after="80"/>
      </w:pPr>
      <w:r>
        <w:rPr>
          <w:rFonts w:ascii="Arial" w:hAnsi="Arial"/>
          <w:b/>
          <w:sz w:val="20"/>
        </w:rPr>
        <w:t>3. Augstāks aizsardzības standarts</w:t>
      </w:r>
    </w:p>
    <w:p>
      <w:pPr>
        <w:spacing w:after="80"/>
      </w:pPr>
      <w:r>
        <w:rPr>
          <w:rFonts w:ascii="Arial" w:hAnsi="Arial"/>
          <w:sz w:val="20"/>
        </w:rPr>
        <w:t>Es arī pieprasu, lai visām esošajām un nākotnes mRNA atļaujām pret infekcijas slimībām tiktu piemērots augstākais aizsardzības standarts, jo īpaši attiecībā uz atlikuma DNS, partiju kvalitāti, bioloģisko izplatīšanos, ilgtermiņa drošumu un ar tehnoloģiju saistītajiem riskiem. Es pieprasu atklāt visus dokumentus, no kuriem izriet, kāpēc mRNA-LNP vakcīnām pret infekcijas slimībām netika piemēroti tādi paši stingri aizsardzības, pārbaudes un kontroles standarti kā salīdzināmām uz nukleīnskābēm balstītām vai gēnu terapijai nozīmīgām zālēm.</w:t>
      </w:r>
    </w:p>
    <w:p>
      <w:pPr>
        <w:spacing w:after="80"/>
      </w:pPr>
      <w:r>
        <w:rPr>
          <w:rFonts w:ascii="Arial" w:hAnsi="Arial"/>
          <w:b/>
          <w:sz w:val="20"/>
        </w:rPr>
        <w:t>4. 20. panta procedūra un tūlītēja apturēšana</w:t>
      </w:r>
    </w:p>
    <w:p>
      <w:pPr>
        <w:spacing w:after="80"/>
      </w:pPr>
      <w:r>
        <w:rPr>
          <w:rFonts w:ascii="Arial" w:hAnsi="Arial"/>
          <w:sz w:val="20"/>
        </w:rPr>
        <w:t>Es pieprasu, lai EMA nekavējoties uzsāk procedūru saskaņā ar Regulas (EK) Nr. 726/2004 20. pantu par Comirnaty un Spikevax, kā arī salīdzināmu mRNA-LNP produktu pret infekcijas slimībām lietošanas tūlītēju apturēšanu. Tas jālemj, piemērojot piesardzības principu, līdz visi šo produktu drošuma aspekti ir pietiekami noskaidroti. Ja netiek uzsākta visu mRNA atļauju tūlītēja apturēšana, es pieprasu atklāt visus dokumentus, no kuriem izriet, kāpēc no tā atteicās. Tas ietver, piemēram, ziņojumus Eiropas Komisijai, iekšējos novērtējumus, atzinumus, lēmumus un e-pastus starp Komisiju un EMA.</w:t>
      </w:r>
    </w:p>
    <w:p>
      <w:pPr>
        <w:spacing w:after="80"/>
      </w:pPr>
      <w:r>
        <w:rPr>
          <w:rFonts w:ascii="Arial" w:hAnsi="Arial"/>
          <w:b/>
          <w:sz w:val="20"/>
        </w:rPr>
        <w:t>5. Publiska uzklausīšana</w:t>
      </w:r>
    </w:p>
    <w:p>
      <w:pPr>
        <w:spacing w:after="80"/>
      </w:pPr>
      <w:r>
        <w:rPr>
          <w:rFonts w:ascii="Arial" w:hAnsi="Arial"/>
          <w:b/>
          <w:sz w:val="20"/>
        </w:rPr>
        <w:t>6. Publiski pieejama datubāze</w:t>
      </w:r>
    </w:p>
    <w:p>
      <w:pPr>
        <w:spacing w:after="80"/>
      </w:pPr>
      <w:r>
        <w:rPr>
          <w:rFonts w:ascii="Arial" w:hAnsi="Arial"/>
          <w:sz w:val="20"/>
        </w:rPr>
        <w:t>Es pieprasu, lai tiktu ievērotas visas manas tiesības saskaņā ar Regulu (EK) Nr. 1049/2001 un lai visi atklātie dokumenti, tostarp dokumenti no citiem pieprasījumiem, būtu pieejami visiem ES pilsoņiem publiski pieejamā datubāzē, kā EMA jau ir norādījusi.</w:t>
      </w:r>
    </w:p>
    <w:p>
      <w:pPr>
        <w:spacing w:after="80"/>
      </w:pPr>
      <w:r>
        <w:rPr>
          <w:rFonts w:ascii="Arial" w:hAnsi="Arial"/>
          <w:sz w:val="20"/>
        </w:rPr>
        <w:t>Es pieprasu, lai EMA savlaicīgi sasauc uzklausīšanu ar neatkarīgiem ekspertiem, kuri nav farmācijas nozares ietekmē, EMA un kompetentajām komitejām. Transparency4Safety iniciatīvas ietvaros jābūt iespējai piedalīties tiešsaistē. Uzklausīšanai pārredzami jāizskata šajā iniciatīvā izvirzītie drošuma un kvalitātes jautājumi.</w:t>
      </w:r>
    </w:p>
    <w:p>
      <w:pPr>
        <w:spacing w:after="80"/>
      </w:pPr>
      <w:r>
        <w:rPr>
          <w:rFonts w:ascii="Arial" w:hAnsi="Arial"/>
          <w:sz w:val="20"/>
        </w:rPr>
        <w:t>Šis pieprasījums kalpo sabiedrības veselības aizsardzībai, piesardzības principam, demokrātiskai kontrolei un ES pilsoņu tiesībām uz pārredzamību.</w:t>
      </w:r>
    </w:p>
    <w:p>
      <w:pPr>
        <w:spacing w:after="80"/>
      </w:pPr>
      <w:r>
        <w:rPr>
          <w:rFonts w:ascii="Arial" w:hAnsi="Arial"/>
          <w:sz w:val="20"/>
        </w:rPr>
        <w:t>Ar cieņu,</w:t>
        <w:br/>
        <w:t>[Vārds, uzvārds]</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