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Kaip prisijungti prie Transparency4Safety iniciatyvos</w:t>
      </w:r>
    </w:p>
    <w:p>
      <w:pPr>
        <w:spacing w:after="120"/>
      </w:pPr>
      <w:r>
        <w:rPr>
          <w:rFonts w:ascii="Arial" w:hAnsi="Arial"/>
          <w:b/>
          <w:sz w:val="20"/>
        </w:rPr>
        <w:t>1. Atidarykite EMA kontaktinę formą:</w:t>
        <w:br/>
      </w:r>
      <w:r>
        <w:rPr>
          <w:rFonts w:ascii="Arial" w:hAnsi="Arial"/>
          <w:sz w:val="20"/>
          <w:u w:val="single"/>
        </w:rPr>
        <w:t>https://www.ema.europa.eu/en/about-us/contacts-european-medicines-agency/send-question-european-medicines-agency</w:t>
      </w:r>
    </w:p>
    <w:p>
      <w:pPr>
        <w:spacing w:after="80"/>
      </w:pPr>
      <w:r>
        <w:rPr>
          <w:rFonts w:ascii="Arial" w:hAnsi="Arial"/>
          <w:sz w:val="20"/>
        </w:rPr>
        <w:t>2. Užpildykite formą taip: pasirinkite kategoriją Consumer → I want an unpublished document.</w:t>
      </w:r>
    </w:p>
    <w:p>
      <w:pPr>
        <w:spacing w:after="80"/>
      </w:pPr>
      <w:r>
        <w:rPr>
          <w:rFonts w:ascii="Arial" w:hAnsi="Arial"/>
          <w:sz w:val="20"/>
        </w:rPr>
        <w:t>3. Nukopijuokite ir įklijuokite prašymo tekstą anglų kalba arba pasirinkta kalba.</w:t>
      </w:r>
    </w:p>
    <w:p>
      <w:pPr>
        <w:spacing w:after="80"/>
      </w:pPr>
      <w:r>
        <w:rPr>
          <w:rFonts w:ascii="Arial" w:hAnsi="Arial"/>
          <w:sz w:val="20"/>
        </w:rPr>
        <w:t>4. Pateikę prašymą palaukite EMA patvirtinimo el. laiško ir rūpestingai išsaugokite ASK numerį. Prisijunkite tik tuo atveju, jei tikrai norite šį klausimą sekti ilgą laiką. EMA procedūros gali būti labai lėtos; išsaugokite ASK numerį ir tikrinkite gautuosius bei šlamšto aplanką.</w:t>
      </w:r>
    </w:p>
    <w:p>
      <w:pPr>
        <w:spacing w:after="120"/>
      </w:pPr>
      <w:r>
        <w:rPr>
          <w:rFonts w:ascii="Arial" w:hAnsi="Arial"/>
          <w:b/>
          <w:sz w:val="20"/>
        </w:rPr>
        <w:t>5. Prenumeruokite, kad būtumėte informuoti ir gautumėte naujienas bei ekspertų atvirus laiškus:</w:t>
        <w:br/>
      </w:r>
      <w:r>
        <w:rPr>
          <w:rFonts w:ascii="Arial" w:hAnsi="Arial"/>
          <w:sz w:val="20"/>
          <w:u w:val="single"/>
        </w:rPr>
        <w:t>https://transparency4safety.substack.com/</w:t>
      </w:r>
    </w:p>
    <w:p/>
    <w:p>
      <w:pPr>
        <w:pStyle w:val="Heading1"/>
      </w:pPr>
      <w:r>
        <w:t>Prašymo tekstas jūsų kalba</w:t>
      </w:r>
    </w:p>
    <w:p>
      <w:pPr>
        <w:spacing w:after="80"/>
      </w:pPr>
      <w:r>
        <w:rPr>
          <w:rFonts w:ascii="Arial" w:hAnsi="Arial"/>
          <w:b/>
          <w:sz w:val="20"/>
        </w:rPr>
        <w:t>ES piliečio prašymas – Transparency4Safety</w:t>
      </w:r>
    </w:p>
    <w:p>
      <w:pPr>
        <w:spacing w:after="80"/>
      </w:pPr>
      <w:r>
        <w:rPr>
          <w:rFonts w:ascii="Arial" w:hAnsi="Arial"/>
          <w:sz w:val="20"/>
        </w:rPr>
        <w:t>Gerbiamos ponios ir ponai,</w:t>
      </w:r>
    </w:p>
    <w:p>
      <w:pPr>
        <w:spacing w:after="80"/>
      </w:pPr>
      <w:r>
        <w:rPr>
          <w:rFonts w:ascii="Arial" w:hAnsi="Arial"/>
          <w:sz w:val="20"/>
        </w:rPr>
        <w:t>pagal Transparency4Safety iniciatyvą prašau, remiantis Reglamentu (EB) Nr. 1049/2001, visiškai ir be užtušavimų atskleisti visus esminius rinkodaros leidimų duomenis, susijusius su Comirnaty ir Spikevax, taip pat, kai taikytina, kitus mRNA leidimų duomenis, kad būtų galima atlikti nepriklausomą mokslinį pakartotinį vertinimą.</w:t>
      </w:r>
    </w:p>
    <w:p>
      <w:pPr>
        <w:spacing w:after="80"/>
      </w:pPr>
      <w:r>
        <w:rPr>
          <w:rFonts w:ascii="Arial" w:hAnsi="Arial"/>
          <w:sz w:val="20"/>
        </w:rPr>
        <w:t>Atskleidimui egzistuoja viršesnis viešasis interesas, nes netinkami mRNA-LNP technologijos kokybės, saugumo ir kontrolės reikalavimai galėtų lemti galimą žalą sveikatai. Šie produktai milijonus kartų buvo skirti sveikiems žmonėms ir ypač pažeidžiamoms grupėms. Todėl turi būti visiškai patikrinama, ar EMA leidimo reikalavimai dėl veikimo būdo, kokybės, saugumo, kontrolės ir ilgalaikių pasekmių yra pakankami.</w:t>
      </w:r>
    </w:p>
    <w:p>
      <w:pPr>
        <w:spacing w:after="80"/>
      </w:pPr>
      <w:r>
        <w:rPr>
          <w:rFonts w:ascii="Arial" w:hAnsi="Arial"/>
          <w:sz w:val="20"/>
        </w:rPr>
        <w:t>Todėl prašau:</w:t>
      </w:r>
    </w:p>
    <w:p>
      <w:pPr>
        <w:spacing w:after="80"/>
      </w:pPr>
      <w:r>
        <w:rPr>
          <w:rFonts w:ascii="Arial" w:hAnsi="Arial"/>
          <w:b/>
          <w:sz w:val="20"/>
        </w:rPr>
        <w:t>1. Visiškas atskleidimas</w:t>
      </w:r>
    </w:p>
    <w:p>
      <w:pPr>
        <w:spacing w:after="80"/>
      </w:pPr>
      <w:r>
        <w:rPr>
          <w:rFonts w:ascii="Arial" w:hAnsi="Arial"/>
          <w:sz w:val="20"/>
        </w:rPr>
        <w:t>Prašau, kad EMA visiškai ir be užtušavimų atskleistų visus Common Technical Document (CTD) leidimo dokumentus, įskaitant visas versijas, taip pat kitus svarbius dokumentus apie gamybą, kokybės kontrolę, partijų tikrinimą, likutinę DNR, RNR kokybę, priemaišas, biologinį pasiskirstymą bei neklinikinį ir klinikinį saugumą moksliniam patikrinimui.</w:t>
      </w:r>
    </w:p>
    <w:p>
      <w:pPr>
        <w:spacing w:after="80"/>
      </w:pPr>
      <w:r>
        <w:rPr>
          <w:rFonts w:ascii="Arial" w:hAnsi="Arial"/>
          <w:b/>
          <w:sz w:val="20"/>
        </w:rPr>
        <w:t>2. Nepriklausomas pakartotinis vertinimas</w:t>
      </w:r>
    </w:p>
    <w:p>
      <w:pPr>
        <w:spacing w:after="80"/>
      </w:pPr>
      <w:r>
        <w:rPr>
          <w:rFonts w:ascii="Arial" w:hAnsi="Arial"/>
          <w:sz w:val="20"/>
        </w:rPr>
        <w:t>Prašau, kad Comirnaty ir Spikevax, taip pat kiti mRNA-LNP produktai nuo infekcinių ligų, būtų viešai ir skaidriai moksliškai ir reguliaciškai iš naujo įvertinti nepriklausomų ekspertų, neturinčių farmacijos pramonės įtakos, siekiant aukščiausio įmanomo sveikatos apsaugos lygio. Pakartotinis vertinimas turi būti grindžiamas visiškai atskleistais dokumentais, dabartiniu mokslo lygiu, atsargumo principu ir Sąjungos teisės reikalaujamu aukštu sveikatos apsaugos lygiu.</w:t>
      </w:r>
    </w:p>
    <w:p>
      <w:pPr>
        <w:spacing w:after="80"/>
      </w:pPr>
      <w:r>
        <w:rPr>
          <w:rFonts w:ascii="Arial" w:hAnsi="Arial"/>
          <w:b/>
          <w:sz w:val="20"/>
        </w:rPr>
        <w:t>3. Aukštesnis apsaugos standartas</w:t>
      </w:r>
    </w:p>
    <w:p>
      <w:pPr>
        <w:spacing w:after="80"/>
      </w:pPr>
      <w:r>
        <w:rPr>
          <w:rFonts w:ascii="Arial" w:hAnsi="Arial"/>
          <w:sz w:val="20"/>
        </w:rPr>
        <w:t>Taip pat prašau, kad visiems esamiems ir būsimiems mRNA leidimams nuo infekcinių ligų būtų taikomas aukščiausias apsaugos standartas, ypač dėl likutinės DNR, partijų kokybės, biologinio pasiskirstymo, ilgalaikio saugumo ir su technologija susijusių rizikų. Prašau atskleisti visus dokumentus, iš kurių matyti, kodėl mRNA-LNP vakcinoms nuo infekcinių ligų nebuvo taikomi tokie pat griežti apsaugos, bandymų ir kontrolės standartai kaip palyginamiems nukleorūgštimis pagrįstiems ar genų terapijai svarbiems vaistams.</w:t>
      </w:r>
    </w:p>
    <w:p>
      <w:pPr>
        <w:spacing w:after="80"/>
      </w:pPr>
      <w:r>
        <w:rPr>
          <w:rFonts w:ascii="Arial" w:hAnsi="Arial"/>
          <w:b/>
          <w:sz w:val="20"/>
        </w:rPr>
        <w:t>4. 20 straipsnio procedūra ir nedelsiamas sustabdymas</w:t>
      </w:r>
    </w:p>
    <w:p>
      <w:pPr>
        <w:spacing w:after="80"/>
      </w:pPr>
      <w:r>
        <w:rPr>
          <w:rFonts w:ascii="Arial" w:hAnsi="Arial"/>
          <w:sz w:val="20"/>
        </w:rPr>
        <w:t>Prašau, kad EMA nedelsdama pradėtų procedūrą pagal Reglamento (EB) Nr. 726/2004 20 straipsnį dėl Comirnaty ir Spikevax bei panašių mRNA-LNP produktų nuo infekcinių ligų naudojimo nedelsiamo sustabdymo. Tai turi būti nuspręsta taikant atsargumo principą, kol visi šių produktų saugumo aspektai bus pakankamai išaiškinti. Jei nebus pradėtas visų mRNA leidimų nedelsiamas sustabdymas, prašau atskleisti visus dokumentus, iš kurių matyti, kodėl to atsisakyta. Tai apima, pavyzdžiui, ataskaitas Europos Komisijai, vidaus vertinimus, nuomones, sprendimus ir el. laiškus tarp Komisijos ir EMA.</w:t>
      </w:r>
    </w:p>
    <w:p>
      <w:pPr>
        <w:spacing w:after="80"/>
      </w:pPr>
      <w:r>
        <w:rPr>
          <w:rFonts w:ascii="Arial" w:hAnsi="Arial"/>
          <w:b/>
          <w:sz w:val="20"/>
        </w:rPr>
        <w:t>5. Viešas klausymas</w:t>
      </w:r>
    </w:p>
    <w:p>
      <w:pPr>
        <w:spacing w:after="80"/>
      </w:pPr>
      <w:r>
        <w:rPr>
          <w:rFonts w:ascii="Arial" w:hAnsi="Arial"/>
          <w:b/>
          <w:sz w:val="20"/>
        </w:rPr>
        <w:t>6. Viešai prieinama duomenų bazė</w:t>
      </w:r>
    </w:p>
    <w:p>
      <w:pPr>
        <w:spacing w:after="80"/>
      </w:pPr>
      <w:r>
        <w:rPr>
          <w:rFonts w:ascii="Arial" w:hAnsi="Arial"/>
          <w:sz w:val="20"/>
        </w:rPr>
        <w:t>Prašau, kad būtų gerbiamos visos mano teisės pagal Reglamentą (EB) Nr. 1049/2001 ir kad visi atskleisti dokumentai, įskaitant dokumentus iš kitų prašymų, būtų prieinami visiems ES piliečiams viešai prieinamoje duomenų bazėje, kaip EMA jau yra nurodžiusi.</w:t>
      </w:r>
    </w:p>
    <w:p>
      <w:pPr>
        <w:spacing w:after="80"/>
      </w:pPr>
      <w:r>
        <w:rPr>
          <w:rFonts w:ascii="Arial" w:hAnsi="Arial"/>
          <w:sz w:val="20"/>
        </w:rPr>
        <w:t>Prašau, kad EMA laiku sušauktų klausymą su nepriklausomais ekspertais, neturinčiais farmacijos pramonės įtakos, EMA ir kompetentingais komitetais. Turi būti galima dalyvauti internetu pagal Transparency4Safety iniciatyvą. Klausymas turi skaidriai išnagrinėti šios iniciatyvos keliamus saugumo ir kokybės klausimus.</w:t>
      </w:r>
    </w:p>
    <w:p>
      <w:pPr>
        <w:spacing w:after="80"/>
      </w:pPr>
      <w:r>
        <w:rPr>
          <w:rFonts w:ascii="Arial" w:hAnsi="Arial"/>
          <w:sz w:val="20"/>
        </w:rPr>
        <w:t>Šis prašymas skirtas visuomenės sveikatos apsaugai, atsargumo principui, demokratinei kontrolei ir ES piliečių teisei į skaidrumą.</w:t>
      </w:r>
    </w:p>
    <w:p>
      <w:pPr>
        <w:spacing w:after="80"/>
      </w:pPr>
      <w:r>
        <w:rPr>
          <w:rFonts w:ascii="Arial" w:hAnsi="Arial"/>
          <w:sz w:val="20"/>
        </w:rPr>
        <w:t>Pagarbiai,</w:t>
        <w:br/>
        <w:t>[Vardas]</w:t>
      </w:r>
    </w:p>
    <w:p>
      <w:pPr>
        <w:spacing w:after="80"/>
      </w:pPr>
      <w:r>
        <w:rPr>
          <w:rFonts w:ascii="Arial" w:hAnsi="Arial"/>
          <w:sz w:val="20"/>
        </w:rPr>
        <w:t>Instrukcija</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