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t>Comment rejoindre l’initiative Transparency4Safety</w:t>
      </w:r>
    </w:p>
    <w:p>
      <w:pPr>
        <w:spacing w:after="120"/>
      </w:pPr>
      <w:r>
        <w:rPr>
          <w:rFonts w:ascii="Arial" w:hAnsi="Arial"/>
          <w:b/>
          <w:sz w:val="20"/>
        </w:rPr>
        <w:t>1. Ouvrez le formulaire de contact de l’EMA :</w:t>
        <w:br/>
      </w:r>
      <w:r>
        <w:rPr>
          <w:rFonts w:ascii="Arial" w:hAnsi="Arial"/>
          <w:sz w:val="20"/>
          <w:u w:val="single"/>
        </w:rPr>
        <w:t>https://www.ema.europa.eu/en/about-us/contacts-european-medicines-agency/send-question-european-medicines-agency</w:t>
      </w:r>
    </w:p>
    <w:p>
      <w:pPr>
        <w:spacing w:after="80"/>
      </w:pPr>
      <w:r>
        <w:rPr>
          <w:rFonts w:ascii="Arial" w:hAnsi="Arial"/>
          <w:sz w:val="20"/>
        </w:rPr>
        <w:t>2. Remplissez le formulaire comme suit : choisissez la catégorie Consumer → I want an unpublished document.</w:t>
      </w:r>
    </w:p>
    <w:p>
      <w:pPr>
        <w:spacing w:after="80"/>
      </w:pPr>
      <w:r>
        <w:rPr>
          <w:rFonts w:ascii="Arial" w:hAnsi="Arial"/>
          <w:sz w:val="20"/>
        </w:rPr>
        <w:t>3. Copiez et collez le texte de la demande en anglais ou dans la langue de votre choix.</w:t>
      </w:r>
    </w:p>
    <w:p>
      <w:pPr>
        <w:spacing w:after="80"/>
      </w:pPr>
      <w:r>
        <w:rPr>
          <w:rFonts w:ascii="Arial" w:hAnsi="Arial"/>
          <w:sz w:val="20"/>
        </w:rPr>
        <w:t>4. Après l’envoi, attendez l’e-mail de confirmation de l’EMA et conservez soigneusement le numéro ASK. Veuillez participer uniquement si vous souhaitez réellement suivre cette affaire dans la durée. Les procédures de l’EMA peuvent être très lentes ; conservez votre numéro ASK et vérifiez votre boîte de réception et vos courriers indésirables.</w:t>
      </w:r>
    </w:p>
    <w:p>
      <w:pPr>
        <w:spacing w:after="120"/>
      </w:pPr>
      <w:r>
        <w:rPr>
          <w:rFonts w:ascii="Arial" w:hAnsi="Arial"/>
          <w:b/>
          <w:sz w:val="20"/>
        </w:rPr>
        <w:t>5. Veuillez vous abonner pour rester informé et recevoir les mises à jour ainsi que les lettres ouvertes d’experts :</w:t>
        <w:br/>
      </w:r>
      <w:r>
        <w:rPr>
          <w:rFonts w:ascii="Arial" w:hAnsi="Arial"/>
          <w:sz w:val="20"/>
          <w:u w:val="single"/>
        </w:rPr>
        <w:t>https://transparency4safety.substack.com/</w:t>
      </w:r>
    </w:p>
    <w:p/>
    <w:p>
      <w:pPr>
        <w:pStyle w:val="Heading1"/>
      </w:pPr>
      <w:r>
        <w:t>Texte de la demande dans votre langue</w:t>
      </w:r>
    </w:p>
    <w:p>
      <w:pPr>
        <w:spacing w:after="80"/>
      </w:pPr>
      <w:r>
        <w:rPr>
          <w:rFonts w:ascii="Arial" w:hAnsi="Arial"/>
          <w:b/>
          <w:sz w:val="20"/>
        </w:rPr>
        <w:t>Demande citoyenne de l’UE – Transparency4Safety</w:t>
      </w:r>
    </w:p>
    <w:p>
      <w:pPr>
        <w:spacing w:after="80"/>
      </w:pPr>
      <w:r>
        <w:rPr>
          <w:rFonts w:ascii="Arial" w:hAnsi="Arial"/>
          <w:sz w:val="20"/>
        </w:rPr>
        <w:t>Madame, Monsieur,</w:t>
      </w:r>
    </w:p>
    <w:p>
      <w:pPr>
        <w:spacing w:after="80"/>
      </w:pPr>
      <w:r>
        <w:rPr>
          <w:rFonts w:ascii="Arial" w:hAnsi="Arial"/>
          <w:sz w:val="20"/>
        </w:rPr>
        <w:t>dans le cadre de l’initiative Transparency4Safety, je demande, sur le fondement du règlement (CE) n° 1049/2001, la divulgation complète et non expurgée de toutes les données essentielles d’autorisation de mise sur le marché concernant Comirnaty et Spikevax, ainsi que, le cas échéant, d’autres données d’autorisation relatives à l’ARNm, afin de permettre une réévaluation scientifique indépendante.</w:t>
      </w:r>
    </w:p>
    <w:p>
      <w:pPr>
        <w:spacing w:after="80"/>
      </w:pPr>
      <w:r>
        <w:rPr>
          <w:rFonts w:ascii="Arial" w:hAnsi="Arial"/>
          <w:sz w:val="20"/>
        </w:rPr>
        <w:t>Il existe un intérêt public supérieur à la divulgation, car des exigences inappropriées en matière de qualité, de sécurité et de contrôle de la technologie ARNm-LNP pourraient entraîner des atteintes possibles à la santé. Ces produits ont été administrés des millions de fois à des personnes en bonne santé et à des groupes particulièrement vulnérables. Il doit donc être pleinement vérifiable que les exigences d’autorisation de l’EMA relatives au mode d’action, à la qualité, à la sécurité, au contrôle et aux effets à long terme sont suffisantes.</w:t>
      </w:r>
    </w:p>
    <w:p>
      <w:pPr>
        <w:spacing w:after="80"/>
      </w:pPr>
      <w:r>
        <w:rPr>
          <w:rFonts w:ascii="Arial" w:hAnsi="Arial"/>
          <w:sz w:val="20"/>
        </w:rPr>
        <w:t>Je demande donc :</w:t>
      </w:r>
    </w:p>
    <w:p>
      <w:pPr>
        <w:spacing w:after="80"/>
      </w:pPr>
      <w:r>
        <w:rPr>
          <w:rFonts w:ascii="Arial" w:hAnsi="Arial"/>
          <w:b/>
          <w:sz w:val="20"/>
        </w:rPr>
        <w:t>1. Divulgation complète</w:t>
      </w:r>
    </w:p>
    <w:p>
      <w:pPr>
        <w:spacing w:after="80"/>
      </w:pPr>
      <w:r>
        <w:rPr>
          <w:rFonts w:ascii="Arial" w:hAnsi="Arial"/>
          <w:sz w:val="20"/>
        </w:rPr>
        <w:t>Je demande que l’EMA divulgue intégralement et sans expurgation tous les documents d’autorisation du Common Technical Document (CTD), y compris toutes les versions, ainsi que les autres documents pertinents concernant la fabrication, le contrôle qualité, le contrôle des lots, l’ADN résiduel, la qualité de l’ARN, les impuretés, la biodistribution et la sécurité non clinique et clinique, aux fins d’un examen scientifique.</w:t>
      </w:r>
    </w:p>
    <w:p>
      <w:pPr>
        <w:spacing w:after="80"/>
      </w:pPr>
      <w:r>
        <w:rPr>
          <w:rFonts w:ascii="Arial" w:hAnsi="Arial"/>
          <w:b/>
          <w:sz w:val="20"/>
        </w:rPr>
        <w:t>2. Réévaluation indépendante</w:t>
      </w:r>
    </w:p>
    <w:p>
      <w:pPr>
        <w:spacing w:after="80"/>
      </w:pPr>
      <w:r>
        <w:rPr>
          <w:rFonts w:ascii="Arial" w:hAnsi="Arial"/>
          <w:sz w:val="20"/>
        </w:rPr>
        <w:t>Je demande que Comirnaty et Spikevax, ainsi que les autres produits ARNm-LNP contre les maladies infectieuses, soient réévalués scientifiquement et réglementairement, de manière publique et transparente, par des experts indépendants et libres de toute influence pharmaceutique, en vue du niveau le plus élevé possible de protection de la santé. La réévaluation doit se fonder sur les documents entièrement divulgués, l’état actuel de la science, le principe de précaution et le haut niveau de protection de la santé exigé par le droit de l’Union.</w:t>
      </w:r>
    </w:p>
    <w:p>
      <w:pPr>
        <w:spacing w:after="80"/>
      </w:pPr>
      <w:r>
        <w:rPr>
          <w:rFonts w:ascii="Arial" w:hAnsi="Arial"/>
          <w:b/>
          <w:sz w:val="20"/>
        </w:rPr>
        <w:t>3. Niveau de protection plus élevé</w:t>
      </w:r>
    </w:p>
    <w:p>
      <w:pPr>
        <w:spacing w:after="80"/>
      </w:pPr>
      <w:r>
        <w:rPr>
          <w:rFonts w:ascii="Arial" w:hAnsi="Arial"/>
          <w:sz w:val="20"/>
        </w:rPr>
        <w:t>Je demande également que le niveau de protection le plus élevé s’applique à toutes les autorisations ARNm existantes et futures contre les maladies infectieuses, notamment pour l’ADN résiduel, la qualité des lots, la biodistribution, la sécurité à long terme et les risques liés à la technologie. Je demande la divulgation de tous les documents indiquant pourquoi les mêmes normes strictes de protection, d’essai et de contrôle n’ont pas été appliquées aux vaccins ARNm-LNP contre les maladies infectieuses comme aux médicaments comparables à base d’acides nucléiques ou pertinents pour la thérapie génique.</w:t>
      </w:r>
    </w:p>
    <w:p>
      <w:pPr>
        <w:spacing w:after="80"/>
      </w:pPr>
      <w:r>
        <w:rPr>
          <w:rFonts w:ascii="Arial" w:hAnsi="Arial"/>
          <w:b/>
          <w:sz w:val="20"/>
        </w:rPr>
        <w:t>4. Procédure au titre de l’article 20 et suspension immédiate</w:t>
      </w:r>
    </w:p>
    <w:p>
      <w:pPr>
        <w:spacing w:after="80"/>
      </w:pPr>
      <w:r>
        <w:rPr>
          <w:rFonts w:ascii="Arial" w:hAnsi="Arial"/>
          <w:sz w:val="20"/>
        </w:rPr>
        <w:t>Je demande que l’EMA engage immédiatement une procédure au titre de l’article 20 du règlement (CE) n° 726/2004 en vue de la suspension immédiate de l’utilisation de Comirnaty et de Spikevax, ainsi que de produits ARNm-LNP comparables contre les maladies infectieuses. Cette décision doit être prise conformément au principe de précaution jusqu’à ce que tous les aspects de sécurité de ces produits soient suffisamment clarifiés. Si aucune suspension immédiate de toutes les autorisations ARNm n’est engagée, je demande la divulgation de tous les documents indiquant pourquoi il y a été renoncé. Cela comprend, par exemple, les rapports à la Commission européenne, les évaluations internes, les avis, les décisions et les courriels entre la Commission et l’EMA.</w:t>
      </w:r>
    </w:p>
    <w:p>
      <w:pPr>
        <w:spacing w:after="80"/>
      </w:pPr>
      <w:r>
        <w:rPr>
          <w:rFonts w:ascii="Arial" w:hAnsi="Arial"/>
          <w:b/>
          <w:sz w:val="20"/>
        </w:rPr>
        <w:t>5. Audition publique</w:t>
      </w:r>
    </w:p>
    <w:p>
      <w:pPr>
        <w:spacing w:after="80"/>
      </w:pPr>
      <w:r>
        <w:rPr>
          <w:rFonts w:ascii="Arial" w:hAnsi="Arial"/>
          <w:b/>
          <w:sz w:val="20"/>
        </w:rPr>
        <w:t>6. Base de données accessible au public</w:t>
      </w:r>
    </w:p>
    <w:p>
      <w:pPr>
        <w:spacing w:after="80"/>
      </w:pPr>
      <w:r>
        <w:rPr>
          <w:rFonts w:ascii="Arial" w:hAnsi="Arial"/>
          <w:sz w:val="20"/>
        </w:rPr>
        <w:t>Je demande que tous mes droits au titre du règlement (CE) n° 1049/2001 soient respectés et que tous les documents divulgués, y compris ceux issus d’autres demandes, soient mis à la disposition de tous les citoyens de l’UE dans une base de données accessible au public, comme l’EMA l’a déjà indiqué.</w:t>
      </w:r>
    </w:p>
    <w:p>
      <w:pPr>
        <w:spacing w:after="80"/>
      </w:pPr>
      <w:r>
        <w:rPr>
          <w:rFonts w:ascii="Arial" w:hAnsi="Arial"/>
          <w:sz w:val="20"/>
        </w:rPr>
        <w:t>Je demande à l’EMA de convoquer rapidement une audition avec des experts indépendants et libres de toute influence pharmaceutique, l’EMA et les comités compétents. Une participation en ligne dans le cadre de l’initiative Transparency4Safety doit être possible. L’audition doit traiter de manière transparente les questions de sécurité et de qualité soulevées par cette initiative.</w:t>
      </w:r>
    </w:p>
    <w:p>
      <w:pPr>
        <w:spacing w:after="80"/>
      </w:pPr>
      <w:r>
        <w:rPr>
          <w:rFonts w:ascii="Arial" w:hAnsi="Arial"/>
          <w:sz w:val="20"/>
        </w:rPr>
        <w:t>Cette demande sert la protection de la santé publique, le principe de précaution, le contrôle démocratique et le droit des citoyennes et citoyens de l’UE à la transparence.</w:t>
      </w:r>
    </w:p>
    <w:p>
      <w:pPr>
        <w:spacing w:after="80"/>
      </w:pPr>
      <w:r>
        <w:rPr>
          <w:rFonts w:ascii="Arial" w:hAnsi="Arial"/>
          <w:sz w:val="20"/>
        </w:rPr>
        <w:t>Veuillez agréer, Madame, Monsieur, l’expression de ma considération distinguée.</w:t>
        <w:br/>
        <w:t>[Nom]</w:t>
      </w:r>
    </w:p>
    <w:p>
      <w:r>
        <w:br w:type="page"/>
      </w:r>
    </w:p>
    <w:p>
      <w:pPr>
        <w:pStyle w:val="Heading1"/>
      </w:pPr>
      <w:r>
        <w:t>Original English text</w:t>
      </w:r>
    </w:p>
    <w:p>
      <w:pPr>
        <w:spacing w:after="80"/>
      </w:pPr>
      <w:r>
        <w:rPr>
          <w:rFonts w:ascii="Arial" w:hAnsi="Arial"/>
          <w:b/>
          <w:sz w:val="20"/>
        </w:rPr>
        <w:t>EU Citizen Request – Transparency4Safety</w:t>
      </w:r>
    </w:p>
    <w:p>
      <w:pPr>
        <w:spacing w:after="80"/>
      </w:pPr>
      <w:r>
        <w:rPr>
          <w:rFonts w:ascii="Arial" w:hAnsi="Arial"/>
          <w:sz w:val="20"/>
        </w:rPr>
        <w:t>Within the framework of the Transparency4Safety (T4S) Initiative ongoing since February 2025, I request, pursuant to Regulation (EC) No 1049/2001, the full and unredacted disclosure of all essential marketing-authorisation data concerning Comirnaty and Spikevax, and, where applicable, further mRNA authorisation data, in order to enable an independent scientific reassessment.</w:t>
      </w:r>
    </w:p>
    <w:p>
      <w:pPr>
        <w:spacing w:after="80"/>
      </w:pPr>
      <w:r>
        <w:rPr>
          <w:rFonts w:ascii="Arial" w:hAnsi="Arial"/>
          <w:sz w:val="20"/>
        </w:rPr>
        <w:t>There is an overriding public interest in disclosure, because possible health harms may have been caused by an insufficient regulatory assessment of the mRNA-LNP technology, including quality, safety and control requirements. I therefore request:</w:t>
      </w:r>
    </w:p>
    <w:p>
      <w:pPr>
        <w:spacing w:after="80"/>
      </w:pPr>
      <w:r>
        <w:rPr>
          <w:rFonts w:ascii="Arial" w:hAnsi="Arial"/>
          <w:b/>
          <w:sz w:val="20"/>
        </w:rPr>
        <w:t>Full disclosure</w:t>
      </w:r>
    </w:p>
    <w:p>
      <w:pPr>
        <w:spacing w:after="80"/>
      </w:pPr>
      <w:r>
        <w:rPr>
          <w:rFonts w:ascii="Arial" w:hAnsi="Arial"/>
          <w:sz w:val="20"/>
        </w:rPr>
        <w:t>I request that EMA immediately disclose, in full and without redactions, all authorisation documents of the Common Technical Document (CTD), including all versions, for scientific review, as well as further relevant documents concerning manufacturing, quality control, batch testing, residual DNA, RNA quality, impurities, biodistribution, and non-clinical and clinical safety.</w:t>
      </w:r>
    </w:p>
    <w:p>
      <w:pPr>
        <w:spacing w:after="80"/>
      </w:pPr>
      <w:r>
        <w:rPr>
          <w:rFonts w:ascii="Arial" w:hAnsi="Arial"/>
          <w:b/>
          <w:sz w:val="20"/>
        </w:rPr>
        <w:t>Independent reassessment</w:t>
      </w:r>
    </w:p>
    <w:p>
      <w:pPr>
        <w:spacing w:after="80"/>
      </w:pPr>
      <w:r>
        <w:rPr>
          <w:rFonts w:ascii="Arial" w:hAnsi="Arial"/>
          <w:sz w:val="20"/>
        </w:rPr>
        <w:t>I request that Comirnaty and Spikevax, as well as other mRNA-LNP products against infectious diseases, be publicly and transparently reassessed scientifically and regulatorily by independent experts free from pharmaceutical-industry influence, with a view to the highest possible protection of health. The reassessment must be based on the fully disclosed documents, the current state of science, the precautionary principle and the high level of health protection required under Union law. The expert letters submitted to EMA within the T4S Initiative must form an essential basis for this reassessment.</w:t>
      </w:r>
    </w:p>
    <w:p>
      <w:pPr>
        <w:spacing w:after="80"/>
      </w:pPr>
      <w:r>
        <w:rPr>
          <w:rFonts w:ascii="Arial" w:hAnsi="Arial"/>
          <w:b/>
          <w:sz w:val="20"/>
        </w:rPr>
        <w:t>Highest health standard</w:t>
      </w:r>
    </w:p>
    <w:p>
      <w:pPr>
        <w:spacing w:after="80"/>
      </w:pPr>
      <w:r>
        <w:rPr>
          <w:rFonts w:ascii="Arial" w:hAnsi="Arial"/>
          <w:sz w:val="20"/>
        </w:rPr>
        <w:t>I further request that the highest health-protection standard apply to all existing and future mRNA authorisations against infectious diseases, in particular with regard to residual DNA, batch quality, biodistribution, long-term safety and technology-related risks. I request disclosure of all documents showing why the same strict protection, testing and control standards were not applied to mRNA-LNP vaccines against infectious diseases as to comparable nucleic-acid-based or gene-therapy-relevant medicinal products.</w:t>
      </w:r>
    </w:p>
    <w:p>
      <w:pPr>
        <w:spacing w:after="80"/>
      </w:pPr>
      <w:r>
        <w:rPr>
          <w:rFonts w:ascii="Arial" w:hAnsi="Arial"/>
          <w:b/>
          <w:sz w:val="20"/>
        </w:rPr>
        <w:t>Article 20 procedure and immediate suspension</w:t>
      </w:r>
    </w:p>
    <w:p>
      <w:pPr>
        <w:spacing w:after="80"/>
      </w:pPr>
      <w:r>
        <w:rPr>
          <w:rFonts w:ascii="Arial" w:hAnsi="Arial"/>
          <w:sz w:val="20"/>
        </w:rPr>
        <w:t>I request that EMA immediately initiate a procedure under Article 20 of Regulation (EC) No 726/2004 for the immediate suspension of the use of Comirnaty and Spikevax, as well as comparable mRNA-LNP products against infectious diseases, applying the precautionary principle in order to enable an independent reassessment of these products. If no immediate suspension of all mRNA authorisations is initiated, I request disclosure of all documents showing why this was not done, including reports to the European Commission, internal assessments, opinions, decisions and emails between the Commission and EMA.</w:t>
      </w:r>
    </w:p>
    <w:p>
      <w:pPr>
        <w:spacing w:after="80"/>
      </w:pPr>
      <w:r>
        <w:rPr>
          <w:rFonts w:ascii="Arial" w:hAnsi="Arial"/>
          <w:b/>
          <w:sz w:val="20"/>
        </w:rPr>
        <w:t>Public hearing</w:t>
      </w:r>
    </w:p>
    <w:p>
      <w:pPr>
        <w:spacing w:after="80"/>
      </w:pPr>
      <w:r>
        <w:rPr>
          <w:rFonts w:ascii="Arial" w:hAnsi="Arial"/>
          <w:sz w:val="20"/>
        </w:rPr>
        <w:t>I request that EMA convene a timely hearing with independent experts free from pharmaceutical-industry influence, EMA and the competent committees, allowing online participation within the Transparency4Safety Initiative, and transparently addressing the safety and quality questions raised by this initiative.</w:t>
      </w:r>
    </w:p>
    <w:p>
      <w:pPr>
        <w:spacing w:after="80"/>
      </w:pPr>
      <w:r>
        <w:rPr>
          <w:rFonts w:ascii="Arial" w:hAnsi="Arial"/>
          <w:b/>
          <w:sz w:val="20"/>
        </w:rPr>
        <w:t>Publicly accessible database</w:t>
      </w:r>
    </w:p>
    <w:p>
      <w:pPr>
        <w:spacing w:after="80"/>
      </w:pPr>
      <w:r>
        <w:rPr>
          <w:rFonts w:ascii="Arial" w:hAnsi="Arial"/>
          <w:sz w:val="20"/>
        </w:rPr>
        <w:t>I request that all my rights under Regulation (EC) No 1049/2001 be respected and that all disclosed documents, including documents disclosed in response to other requests, be made available to all EU citizens in a publicly accessible database, as EMA has already envisaged.</w:t>
      </w:r>
    </w:p>
    <w:p>
      <w:pPr>
        <w:spacing w:after="80"/>
      </w:pPr>
      <w:r>
        <w:rPr>
          <w:rFonts w:ascii="Arial" w:hAnsi="Arial"/>
          <w:sz w:val="20"/>
        </w:rPr>
        <w:t>This request serves the protection of public health, the precautionary principle, democratic oversight and the right of EU citizens to transparency.</w:t>
      </w:r>
    </w:p>
    <w:sectPr w:rsidR="00FC693F" w:rsidRPr="0006063C" w:rsidSect="00034616">
      <w:pgSz w:w="12240" w:h="15840"/>
      <w:pgMar w:top="864" w:right="1008" w:bottom="864" w:left="100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rial" w:hAnsi="Arial"/>
      <w:sz w:val="20"/>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ascii="Arial" w:hAnsi="Arial"/>
      <w:b/>
      <w:bCs/>
      <w:color w:val="365F91" w:themeColor="accent1" w:themeShade="BF"/>
      <w:sz w:val="30"/>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ascii="Arial" w:hAnsi="Arial"/>
      <w:b/>
      <w:bCs/>
      <w:color w:val="4F81BD" w:themeColor="accent1"/>
      <w:sz w:val="24"/>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ascii="Arial" w:hAnsi="Arial"/>
      <w:b/>
      <w:color w:val="17365D" w:themeColor="text2" w:themeShade="BF"/>
      <w:spacing w:val="5"/>
      <w:kern w:val="28"/>
      <w:sz w:val="36"/>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