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Kuidas liituda Transparency4Safety algatusega</w:t>
      </w:r>
    </w:p>
    <w:p>
      <w:pPr>
        <w:spacing w:after="120"/>
      </w:pPr>
      <w:r>
        <w:rPr>
          <w:rFonts w:ascii="Arial" w:hAnsi="Arial"/>
          <w:b/>
          <w:sz w:val="20"/>
        </w:rPr>
        <w:t>1. Avage EMA kontaktvorm:</w:t>
        <w:br/>
      </w:r>
      <w:r>
        <w:rPr>
          <w:rFonts w:ascii="Arial" w:hAnsi="Arial"/>
          <w:sz w:val="20"/>
          <w:u w:val="single"/>
        </w:rPr>
        <w:t>https://www.ema.europa.eu/en/about-us/contacts-european-medicines-agency/send-question-european-medicines-agency</w:t>
      </w:r>
    </w:p>
    <w:p>
      <w:pPr>
        <w:spacing w:after="80"/>
      </w:pPr>
      <w:r>
        <w:rPr>
          <w:rFonts w:ascii="Arial" w:hAnsi="Arial"/>
          <w:sz w:val="20"/>
        </w:rPr>
        <w:t>2. Täitke vorm järgmiselt: valige kategooria Consumer → I want an unpublished document.</w:t>
      </w:r>
    </w:p>
    <w:p>
      <w:pPr>
        <w:spacing w:after="80"/>
      </w:pPr>
      <w:r>
        <w:rPr>
          <w:rFonts w:ascii="Arial" w:hAnsi="Arial"/>
          <w:sz w:val="20"/>
        </w:rPr>
        <w:t>3. Kopeerige ja kleepige taotluse tekst inglise keeles või teie valitud keeles.</w:t>
      </w:r>
    </w:p>
    <w:p>
      <w:pPr>
        <w:spacing w:after="80"/>
      </w:pPr>
      <w:r>
        <w:rPr>
          <w:rFonts w:ascii="Arial" w:hAnsi="Arial"/>
          <w:sz w:val="20"/>
        </w:rPr>
        <w:t>4. Pärast esitamist oodake EMA kinnituskirja ja hoidke ASK-number hoolikalt alles. Liituge ainult siis, kui olete tõesti huvitatud selle teema pikaajalisest jälgimisest. EMA menetlused võivad olla väga aeglased; hoidke ASK-number alles ning kontrollige postkasti ja rämpsposti.</w:t>
      </w:r>
    </w:p>
    <w:p>
      <w:pPr>
        <w:spacing w:after="120"/>
      </w:pPr>
      <w:r>
        <w:rPr>
          <w:rFonts w:ascii="Arial" w:hAnsi="Arial"/>
          <w:b/>
          <w:sz w:val="20"/>
        </w:rPr>
        <w:t>5. Tellige, et olla kursis ning saada täiendavaid uuendusi ja ekspertide avatud kirju:</w:t>
        <w:br/>
      </w:r>
      <w:r>
        <w:rPr>
          <w:rFonts w:ascii="Arial" w:hAnsi="Arial"/>
          <w:sz w:val="20"/>
          <w:u w:val="single"/>
        </w:rPr>
        <w:t>https://transparency4safety.substack.com/</w:t>
      </w:r>
    </w:p>
    <w:p/>
    <w:p>
      <w:pPr>
        <w:pStyle w:val="Heading1"/>
      </w:pPr>
      <w:r>
        <w:t>Taotluse tekst teie keeles</w:t>
      </w:r>
    </w:p>
    <w:p>
      <w:pPr>
        <w:spacing w:after="80"/>
      </w:pPr>
      <w:r>
        <w:rPr>
          <w:rFonts w:ascii="Arial" w:hAnsi="Arial"/>
          <w:b/>
          <w:sz w:val="20"/>
        </w:rPr>
        <w:t>ELi kodaniku taotlus – Transparency4Safety</w:t>
      </w:r>
    </w:p>
    <w:p>
      <w:pPr>
        <w:spacing w:after="80"/>
      </w:pPr>
      <w:r>
        <w:rPr>
          <w:rFonts w:ascii="Arial" w:hAnsi="Arial"/>
          <w:sz w:val="20"/>
        </w:rPr>
        <w:t>Lugupeetud daamid ja härrad,</w:t>
      </w:r>
    </w:p>
    <w:p>
      <w:pPr>
        <w:spacing w:after="80"/>
      </w:pPr>
      <w:r>
        <w:rPr>
          <w:rFonts w:ascii="Arial" w:hAnsi="Arial"/>
          <w:sz w:val="20"/>
        </w:rPr>
        <w:t>Transparency4Safety algatuse raames nõuan määruse (EÜ) nr 1049/2001 alusel kõigi oluliste müügiloa andmete täielikku ja varjamata avalikustamist seoses toodetega Comirnaty ja Spikevax ning vajaduse korral muude mRNA loaandmete avalikustamist, et võimaldada sõltumatut teaduslikku ümberhindamist.</w:t>
      </w:r>
    </w:p>
    <w:p>
      <w:pPr>
        <w:spacing w:after="80"/>
      </w:pPr>
      <w:r>
        <w:rPr>
          <w:rFonts w:ascii="Arial" w:hAnsi="Arial"/>
          <w:sz w:val="20"/>
        </w:rPr>
        <w:t>Avalikustamiseks on olemas ülekaalukas avalik huvi, sest mRNA-LNP tehnoloogia kvaliteedile, ohutusele ja kontrollile esitatud sobimatud nõuded võivad põhjustada võimalikku tervisekahju. Neid tooteid on manustatud miljoneid kordi tervetele inimestele ja eriti haavatavatele rühmadele. Seetõttu peab olema täielikult kontrollitav, kas EMA loa andmise nõuded toimemehhanismi, kvaliteedi, ohutuse, kontrolli ja pikaajaliste mõjude kohta on piisavad.</w:t>
      </w:r>
    </w:p>
    <w:p>
      <w:pPr>
        <w:spacing w:after="80"/>
      </w:pPr>
      <w:r>
        <w:rPr>
          <w:rFonts w:ascii="Arial" w:hAnsi="Arial"/>
          <w:sz w:val="20"/>
        </w:rPr>
        <w:t>Seetõttu nõuan:</w:t>
      </w:r>
    </w:p>
    <w:p>
      <w:pPr>
        <w:spacing w:after="80"/>
      </w:pPr>
      <w:r>
        <w:rPr>
          <w:rFonts w:ascii="Arial" w:hAnsi="Arial"/>
          <w:b/>
          <w:sz w:val="20"/>
        </w:rPr>
        <w:t>1. Täielik avalikustamine</w:t>
      </w:r>
    </w:p>
    <w:p>
      <w:pPr>
        <w:spacing w:after="80"/>
      </w:pPr>
      <w:r>
        <w:rPr>
          <w:rFonts w:ascii="Arial" w:hAnsi="Arial"/>
          <w:sz w:val="20"/>
        </w:rPr>
        <w:t>Nõuan, et EMA avalikustaks täielikult ja ilma redaktsioonideta kõik Common Technical Document (CTD) loamenetluse dokumendid, sealhulgas kõik versioonid, ning muud asjakohased dokumendid tootmise, kvaliteedikontrolli, partiikontrolli, jääk-DNA, RNA kvaliteedi, lisandite, biodistributsiooni ning mittekliinilise ja kliinilise ohutuse kohta teaduslikuks läbivaatamiseks.</w:t>
      </w:r>
    </w:p>
    <w:p>
      <w:pPr>
        <w:spacing w:after="80"/>
      </w:pPr>
      <w:r>
        <w:rPr>
          <w:rFonts w:ascii="Arial" w:hAnsi="Arial"/>
          <w:b/>
          <w:sz w:val="20"/>
        </w:rPr>
        <w:t>2. Sõltumatu ümberhindamine</w:t>
      </w:r>
    </w:p>
    <w:p>
      <w:pPr>
        <w:spacing w:after="80"/>
      </w:pPr>
      <w:r>
        <w:rPr>
          <w:rFonts w:ascii="Arial" w:hAnsi="Arial"/>
          <w:sz w:val="20"/>
        </w:rPr>
        <w:t>Nõuan, et Comirnaty ja Spikevax ning muud nakkushaiguste vastased mRNA-LNP tooted hinnataks avalikult ja läbipaistvalt teaduslikult ja regulatiivselt ümber sõltumatute ekspertide poolt, kes on vabad farmaatsiatööstuse mõjust, eesmärgiga tagada võimalikult kõrge tervisekaitse. Ümberhindamine peab põhinema täielikult avalikustatud dokumentidel, teaduse hetkeseisul, ettevaatuspõhimõttel ja liidu õiguses nõutud kõrgel tervisekaitse tasemel.</w:t>
      </w:r>
    </w:p>
    <w:p>
      <w:pPr>
        <w:spacing w:after="80"/>
      </w:pPr>
      <w:r>
        <w:rPr>
          <w:rFonts w:ascii="Arial" w:hAnsi="Arial"/>
          <w:b/>
          <w:sz w:val="20"/>
        </w:rPr>
        <w:t>3. Kõrgem kaitsetase</w:t>
      </w:r>
    </w:p>
    <w:p>
      <w:pPr>
        <w:spacing w:after="80"/>
      </w:pPr>
      <w:r>
        <w:rPr>
          <w:rFonts w:ascii="Arial" w:hAnsi="Arial"/>
          <w:sz w:val="20"/>
        </w:rPr>
        <w:t>Samuti nõuan, et kõigile olemasolevatele ja tulevastele nakkushaiguste vastastele mRNA lubadele kohaldataks kõrgeimat kaitsetaset, eelkõige jääk-DNA, partiikvaliteedi, biodistributsiooni, pikaajalise ohutuse ja tehnoloogiaga seotud riskide osas. Nõuan kõigi dokumentide avalikustamist, millest nähtub, miks mRNA-LNP vaktsiinidele nakkushaiguste vastu ei kohaldatud samu rangeid kaitse-, testimis- ja kontrollistandardeid nagu võrreldavatele nukleiinhapetel põhinevatele või geeniteraapiaga seotud ravimitele.</w:t>
      </w:r>
    </w:p>
    <w:p>
      <w:pPr>
        <w:spacing w:after="80"/>
      </w:pPr>
      <w:r>
        <w:rPr>
          <w:rFonts w:ascii="Arial" w:hAnsi="Arial"/>
          <w:b/>
          <w:sz w:val="20"/>
        </w:rPr>
        <w:t>4. Artikli 20 menetlus ja viivitamatu peatamine</w:t>
      </w:r>
    </w:p>
    <w:p>
      <w:pPr>
        <w:spacing w:after="80"/>
      </w:pPr>
      <w:r>
        <w:rPr>
          <w:rFonts w:ascii="Arial" w:hAnsi="Arial"/>
          <w:sz w:val="20"/>
        </w:rPr>
        <w:t>Nõuan, et EMA algataks viivitamata määruse (EÜ) nr 726/2004 artikli 20 kohase menetluse Comirnaty ja Spikevaxi ning võrreldavate nakkushaiguste vastaste mRNA-LNP toodete kasutamise viivitamatuks peatamiseks. See tuleb otsustada ettevaatuspõhimõtte alusel, kuni kõik nende toodete ohutusaspektid on piisavalt selgitatud. Kui kõigi mRNA lubade viivitamatut peatamist ei algatata, nõuan kõigi dokumentide avalikustamist, millest nähtub, miks seda ei tehtud. See hõlmab näiteks aruandeid Euroopa Komisjonile, sisehinnanguid, arvamusi, otsuseid ning Komisjoni ja EMA vahelisi e-kirju.</w:t>
      </w:r>
    </w:p>
    <w:p>
      <w:pPr>
        <w:spacing w:after="80"/>
      </w:pPr>
      <w:r>
        <w:rPr>
          <w:rFonts w:ascii="Arial" w:hAnsi="Arial"/>
          <w:b/>
          <w:sz w:val="20"/>
        </w:rPr>
        <w:t>5. Avalik kuulamine</w:t>
      </w:r>
    </w:p>
    <w:p>
      <w:pPr>
        <w:spacing w:after="80"/>
      </w:pPr>
      <w:r>
        <w:rPr>
          <w:rFonts w:ascii="Arial" w:hAnsi="Arial"/>
          <w:b/>
          <w:sz w:val="20"/>
        </w:rPr>
        <w:t>6. Avalikult juurdepääsetav andmebaas</w:t>
      </w:r>
    </w:p>
    <w:p>
      <w:pPr>
        <w:spacing w:after="80"/>
      </w:pPr>
      <w:r>
        <w:rPr>
          <w:rFonts w:ascii="Arial" w:hAnsi="Arial"/>
          <w:sz w:val="20"/>
        </w:rPr>
        <w:t>Nõuan, et kõiki minu õigusi määruse (EÜ) nr 1049/2001 alusel austataks ning et kõik avalikustatud dokumendid, sealhulgas muude taotluste alusel avalikustatud dokumendid, tehtaks kõigile ELi kodanikele kättesaadavaks avalikus andmebaasis, nagu EMA on juba märkinud.</w:t>
      </w:r>
    </w:p>
    <w:p>
      <w:pPr>
        <w:spacing w:after="80"/>
      </w:pPr>
      <w:r>
        <w:rPr>
          <w:rFonts w:ascii="Arial" w:hAnsi="Arial"/>
          <w:sz w:val="20"/>
        </w:rPr>
        <w:t>Nõuan, et EMA kutsuks õigeaegselt kokku kuulamise sõltumatute ekspertidega, kes on vabad farmaatsiatööstuse mõjust, EMA ja pädevate komiteedega. Transparency4Safety algatuse raames peab olema võimalik veebipõhine osalemine. Kuulamine peab läbipaistvalt käsitlema selle algatuse tõstatatud ohutuse ja kvaliteedi küsimusi.</w:t>
      </w:r>
    </w:p>
    <w:p>
      <w:pPr>
        <w:spacing w:after="80"/>
      </w:pPr>
      <w:r>
        <w:rPr>
          <w:rFonts w:ascii="Arial" w:hAnsi="Arial"/>
          <w:sz w:val="20"/>
        </w:rPr>
        <w:t>Käesolev nõue teenib rahvatervise kaitset, ettevaatuspõhimõtet, demokraatlikku kontrolli ja ELi kodanike õigust läbipaistvusele.</w:t>
      </w:r>
    </w:p>
    <w:p>
      <w:pPr>
        <w:spacing w:after="80"/>
      </w:pPr>
      <w:r>
        <w:rPr>
          <w:rFonts w:ascii="Arial" w:hAnsi="Arial"/>
          <w:sz w:val="20"/>
        </w:rPr>
        <w:t>Lugupidamisega</w:t>
        <w:br/>
        <w:t>[Nimi]</w:t>
      </w:r>
    </w:p>
    <w:p>
      <w:r>
        <w:br w:type="page"/>
      </w:r>
    </w:p>
    <w:p>
      <w:pPr>
        <w:pStyle w:val="Heading1"/>
      </w:pPr>
      <w:r>
        <w:t>Original English text</w:t>
      </w:r>
    </w:p>
    <w:p>
      <w:pPr>
        <w:spacing w:after="80"/>
      </w:pPr>
      <w:r>
        <w:rPr>
          <w:rFonts w:ascii="Arial" w:hAnsi="Arial"/>
          <w:b/>
          <w:sz w:val="20"/>
        </w:rPr>
        <w:t>EU Citizen Request – Transparency4Safety</w:t>
      </w:r>
    </w:p>
    <w:p>
      <w:pPr>
        <w:spacing w:after="80"/>
      </w:pPr>
      <w:r>
        <w:rPr>
          <w:rFonts w:ascii="Arial" w:hAnsi="Arial"/>
          <w:sz w:val="20"/>
        </w:rPr>
        <w:t>Within the framework of the Transparency4Safety (T4S) Initiative ongoing since February 2025, I request, pursuant to Regulation (EC) No 1049/2001, the full and unredacted disclosure of all essential marketing-authorisation data concerning Comirnaty and Spikevax, and, where applicable, further mRNA authorisation data, in order to enable an independent scientific reassessment.</w:t>
      </w:r>
    </w:p>
    <w:p>
      <w:pPr>
        <w:spacing w:after="80"/>
      </w:pPr>
      <w:r>
        <w:rPr>
          <w:rFonts w:ascii="Arial" w:hAnsi="Arial"/>
          <w:sz w:val="20"/>
        </w:rPr>
        <w:t>There is an overriding public interest in disclosure, because possible health harms may have been caused by an insufficient regulatory assessment of the mRNA-LNP technology, including quality, safety and control requirements. I therefore request:</w:t>
      </w:r>
    </w:p>
    <w:p>
      <w:pPr>
        <w:spacing w:after="80"/>
      </w:pPr>
      <w:r>
        <w:rPr>
          <w:rFonts w:ascii="Arial" w:hAnsi="Arial"/>
          <w:b/>
          <w:sz w:val="20"/>
        </w:rPr>
        <w:t>Full disclosure</w:t>
      </w:r>
    </w:p>
    <w:p>
      <w:pPr>
        <w:spacing w:after="80"/>
      </w:pPr>
      <w:r>
        <w:rPr>
          <w:rFonts w:ascii="Arial" w:hAnsi="Arial"/>
          <w:sz w:val="20"/>
        </w:rPr>
        <w:t>I request that EMA immediately disclose, in full and without redactions, all authorisation documents of the Common Technical Document (CTD), including all versions, for scientific review, as well as further relevant documents concerning manufacturing, quality control, batch testing, residual DNA, RNA quality, impurities, biodistribution, and non-clinical and clinical safety.</w:t>
      </w:r>
    </w:p>
    <w:p>
      <w:pPr>
        <w:spacing w:after="80"/>
      </w:pPr>
      <w:r>
        <w:rPr>
          <w:rFonts w:ascii="Arial" w:hAnsi="Arial"/>
          <w:b/>
          <w:sz w:val="20"/>
        </w:rPr>
        <w:t>Independent reassessment</w:t>
      </w:r>
    </w:p>
    <w:p>
      <w:pPr>
        <w:spacing w:after="80"/>
      </w:pPr>
      <w:r>
        <w:rPr>
          <w:rFonts w:ascii="Arial" w:hAnsi="Arial"/>
          <w:sz w:val="20"/>
        </w:rPr>
        <w:t>I request that Comirnaty and Spikevax, as well as other mRNA-LNP products against infectious diseases, be publicly and transparently reassessed scientifically and regulatorily by independent experts free from pharmaceutical-industry influence, with a view to the highest possible protection of health. The reassessment must be based on the fully disclosed documents, the current state of science, the precautionary principle and the high level of health protection required under Union law. The expert letters submitted to EMA within the T4S Initiative must form an essential basis for this reassessment.</w:t>
      </w:r>
    </w:p>
    <w:p>
      <w:pPr>
        <w:spacing w:after="80"/>
      </w:pPr>
      <w:r>
        <w:rPr>
          <w:rFonts w:ascii="Arial" w:hAnsi="Arial"/>
          <w:b/>
          <w:sz w:val="20"/>
        </w:rPr>
        <w:t>Highest health standard</w:t>
      </w:r>
    </w:p>
    <w:p>
      <w:pPr>
        <w:spacing w:after="80"/>
      </w:pPr>
      <w:r>
        <w:rPr>
          <w:rFonts w:ascii="Arial" w:hAnsi="Arial"/>
          <w:sz w:val="20"/>
        </w:rPr>
        <w:t>I further request that the highest health-protection standard apply to all existing and future mRNA authorisations against infectious diseases, in particular with regard to residual DNA, batch quality, biodistribution, long-term safety and technology-related risks. I request disclosure of all documents showing why the same strict protection, testing and control standards were not applied to mRNA-LNP vaccines against infectious diseases as to comparable nucleic-acid-based or gene-therapy-relevant medicinal products.</w:t>
      </w:r>
    </w:p>
    <w:p>
      <w:pPr>
        <w:spacing w:after="80"/>
      </w:pPr>
      <w:r>
        <w:rPr>
          <w:rFonts w:ascii="Arial" w:hAnsi="Arial"/>
          <w:b/>
          <w:sz w:val="20"/>
        </w:rPr>
        <w:t>Article 20 procedure and immediate suspension</w:t>
      </w:r>
    </w:p>
    <w:p>
      <w:pPr>
        <w:spacing w:after="80"/>
      </w:pPr>
      <w:r>
        <w:rPr>
          <w:rFonts w:ascii="Arial" w:hAnsi="Arial"/>
          <w:sz w:val="20"/>
        </w:rPr>
        <w:t>I request that EMA immediately initiate a procedure under Article 20 of Regulation (EC) No 726/2004 for the immediate suspension of the use of Comirnaty and Spikevax, as well as comparable mRNA-LNP products against infectious diseases, applying the precautionary principle in order to enable an independent reassessment of these products. If no immediate suspension of all mRNA authorisations is initiated, I request disclosure of all documents showing why this was not done, including reports to the European Commission, internal assessments, opinions, decisions and emails between the Commission and EMA.</w:t>
      </w:r>
    </w:p>
    <w:p>
      <w:pPr>
        <w:spacing w:after="80"/>
      </w:pPr>
      <w:r>
        <w:rPr>
          <w:rFonts w:ascii="Arial" w:hAnsi="Arial"/>
          <w:b/>
          <w:sz w:val="20"/>
        </w:rPr>
        <w:t>Public hearing</w:t>
      </w:r>
    </w:p>
    <w:p>
      <w:pPr>
        <w:spacing w:after="80"/>
      </w:pPr>
      <w:r>
        <w:rPr>
          <w:rFonts w:ascii="Arial" w:hAnsi="Arial"/>
          <w:sz w:val="20"/>
        </w:rPr>
        <w:t>I request that EMA convene a timely hearing with independent experts free from pharmaceutical-industry influence, EMA and the competent committees, allowing online participation within the Transparency4Safety Initiative, and transparently addressing the safety and quality questions raised by this initiative.</w:t>
      </w:r>
    </w:p>
    <w:p>
      <w:pPr>
        <w:spacing w:after="80"/>
      </w:pPr>
      <w:r>
        <w:rPr>
          <w:rFonts w:ascii="Arial" w:hAnsi="Arial"/>
          <w:b/>
          <w:sz w:val="20"/>
        </w:rPr>
        <w:t>Publicly accessible database</w:t>
      </w:r>
    </w:p>
    <w:p>
      <w:pPr>
        <w:spacing w:after="80"/>
      </w:pPr>
      <w:r>
        <w:rPr>
          <w:rFonts w:ascii="Arial" w:hAnsi="Arial"/>
          <w:sz w:val="20"/>
        </w:rPr>
        <w:t>I request that all my rights under Regulation (EC) No 1049/2001 be respected and that all disclosed documents, including documents disclosed in response to other requests, be made available to all EU citizens in a publicly accessible database, as EMA has already envisaged.</w:t>
      </w:r>
    </w:p>
    <w:p>
      <w:pPr>
        <w:spacing w:after="80"/>
      </w:pPr>
      <w:r>
        <w:rPr>
          <w:rFonts w:ascii="Arial" w:hAnsi="Arial"/>
          <w:sz w:val="20"/>
        </w:rPr>
        <w:t>This request serves the protection of public health, the precautionary principle, democratic oversight and the right of EU citizens to transparency.</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