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Как да се присъедините към инициативата Transparency4Safety</w:t>
      </w:r>
    </w:p>
    <w:p>
      <w:pPr>
        <w:spacing w:after="120"/>
      </w:pPr>
      <w:r>
        <w:rPr>
          <w:rFonts w:ascii="Arial" w:hAnsi="Arial"/>
          <w:b/>
          <w:sz w:val="20"/>
        </w:rPr>
        <w:t>1. Отворете формуляра за контакт на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Попълнете формуляра по следния начин: изберете категорията Consumer → I want an unpublished document.</w:t>
      </w:r>
    </w:p>
    <w:p>
      <w:pPr>
        <w:spacing w:after="80"/>
      </w:pPr>
      <w:r>
        <w:rPr>
          <w:rFonts w:ascii="Arial" w:hAnsi="Arial"/>
          <w:sz w:val="20"/>
        </w:rPr>
        <w:t>3. Копирайте и поставете текста на искането на английски или на избрания от вас език.</w:t>
      </w:r>
    </w:p>
    <w:p>
      <w:pPr>
        <w:spacing w:after="80"/>
      </w:pPr>
      <w:r>
        <w:rPr>
          <w:rFonts w:ascii="Arial" w:hAnsi="Arial"/>
          <w:sz w:val="20"/>
        </w:rPr>
        <w:t>4. След изпращането изчакайте потвърдителния имейл от EMA и запазете внимателно ASK номера. Присъединете се само ако наистина желаете да следите този въпрос дългосрочно. Процедурите на EMA могат да бъдат много бавни; пазете ASK номера и проверявайте входящата поща и спам папката.</w:t>
      </w:r>
    </w:p>
    <w:p>
      <w:pPr>
        <w:spacing w:after="120"/>
      </w:pPr>
      <w:r>
        <w:rPr>
          <w:rFonts w:ascii="Arial" w:hAnsi="Arial"/>
          <w:b/>
          <w:sz w:val="20"/>
        </w:rPr>
        <w:t>5. Абонирайте се, за да бъдете информирани и да получавате допълнителни актуализации и отворени писма от експерти:</w:t>
        <w:br/>
      </w:r>
      <w:r>
        <w:rPr>
          <w:rFonts w:ascii="Arial" w:hAnsi="Arial"/>
          <w:sz w:val="20"/>
          <w:u w:val="single"/>
        </w:rPr>
        <w:t>https://transparency4safety.substack.com/</w:t>
      </w:r>
    </w:p>
    <w:p/>
    <w:p>
      <w:pPr>
        <w:pStyle w:val="Heading1"/>
      </w:pPr>
      <w:r>
        <w:t>Текст на искането на вашия език</w:t>
      </w:r>
    </w:p>
    <w:p>
      <w:pPr>
        <w:spacing w:after="80"/>
      </w:pPr>
      <w:r>
        <w:rPr>
          <w:rFonts w:ascii="Arial" w:hAnsi="Arial"/>
          <w:b/>
          <w:sz w:val="20"/>
        </w:rPr>
        <w:t>Искане на гражданин на ЕС – Transparency4Safety</w:t>
      </w:r>
    </w:p>
    <w:p>
      <w:pPr>
        <w:spacing w:after="80"/>
      </w:pPr>
      <w:r>
        <w:rPr>
          <w:rFonts w:ascii="Arial" w:hAnsi="Arial"/>
          <w:sz w:val="20"/>
        </w:rPr>
        <w:t>Уважаеми госпожи и господа,</w:t>
      </w:r>
    </w:p>
    <w:p>
      <w:pPr>
        <w:spacing w:after="80"/>
      </w:pPr>
      <w:r>
        <w:rPr>
          <w:rFonts w:ascii="Arial" w:hAnsi="Arial"/>
          <w:sz w:val="20"/>
        </w:rPr>
        <w:t>в рамките на инициативата Transparency4Safety изисквам, на основание Регламент (ЕО) № 1049/2001, пълното и незаличено оповестяване на всички съществени данни за разрешенията за употреба относно Comirnaty и Spikevax, както и, когато е приложимо, на други данни за разрешения за mRNA, за да се даде възможност за независима научна преоценка.</w:t>
      </w:r>
    </w:p>
    <w:p>
      <w:pPr>
        <w:spacing w:after="80"/>
      </w:pPr>
      <w:r>
        <w:rPr>
          <w:rFonts w:ascii="Arial" w:hAnsi="Arial"/>
          <w:sz w:val="20"/>
        </w:rPr>
        <w:t>Налице е надделяващ обществен интерес от оповестяването, тъй като неподходящи изисквания за качество, безопасност и контрол на mRNA-LNP технологията биха могли да доведат до възможни вреди за здравето. Тези продукти са прилагани милиони пъти на здрави хора и на особено уязвими групи. Именно затова трябва да бъде напълно проверимо дали изискванията на EMA за разрешаване относно начина на действие, качеството, безопасността, контрола и дългосрочните последици са достатъчни.</w:t>
      </w:r>
    </w:p>
    <w:p>
      <w:pPr>
        <w:spacing w:after="80"/>
      </w:pPr>
      <w:r>
        <w:rPr>
          <w:rFonts w:ascii="Arial" w:hAnsi="Arial"/>
          <w:sz w:val="20"/>
        </w:rPr>
        <w:t>Поради това изисквам:</w:t>
      </w:r>
    </w:p>
    <w:p>
      <w:pPr>
        <w:spacing w:after="80"/>
      </w:pPr>
      <w:r>
        <w:rPr>
          <w:rFonts w:ascii="Arial" w:hAnsi="Arial"/>
          <w:b/>
          <w:sz w:val="20"/>
        </w:rPr>
        <w:t>1. Пълно оповестяване</w:t>
      </w:r>
    </w:p>
    <w:p>
      <w:pPr>
        <w:spacing w:after="80"/>
      </w:pPr>
      <w:r>
        <w:rPr>
          <w:rFonts w:ascii="Arial" w:hAnsi="Arial"/>
          <w:sz w:val="20"/>
        </w:rPr>
        <w:t>Изисквам EMA да оповести изцяло и без заличавания всички документи за разрешение от Common Technical Document (CTD), включително всички версии, както и други релевантни документи относно производството, контрола на качеството, контрола на партидите, остатъчната ДНК, качеството на РНК, примесите, биодистрибуцията и неклиничната и клиничната безопасност за научна проверка.</w:t>
      </w:r>
    </w:p>
    <w:p>
      <w:pPr>
        <w:spacing w:after="80"/>
      </w:pPr>
      <w:r>
        <w:rPr>
          <w:rFonts w:ascii="Arial" w:hAnsi="Arial"/>
          <w:b/>
          <w:sz w:val="20"/>
        </w:rPr>
        <w:t>2. Независима преоценка</w:t>
      </w:r>
    </w:p>
    <w:p>
      <w:pPr>
        <w:spacing w:after="80"/>
      </w:pPr>
      <w:r>
        <w:rPr>
          <w:rFonts w:ascii="Arial" w:hAnsi="Arial"/>
          <w:sz w:val="20"/>
        </w:rPr>
        <w:t>Изисквам Comirnaty и Spikevax, както и други mRNA-LNP продукти срещу инфекциозни заболявания, да бъдат научно и регулаторно преоценени публично и прозрачно от независими експерти без влияние от фармацевтичната индустрия с оглед на възможно най-високата степен на защита на здравето. Преоценката трябва да се основава на напълно оповестените документи, актуалното състояние на науката, принципа на предпазливостта и високото равнище на защита на здравето, изисквано от правото на Съюза.</w:t>
      </w:r>
    </w:p>
    <w:p>
      <w:pPr>
        <w:spacing w:after="80"/>
      </w:pPr>
      <w:r>
        <w:rPr>
          <w:rFonts w:ascii="Arial" w:hAnsi="Arial"/>
          <w:b/>
          <w:sz w:val="20"/>
        </w:rPr>
        <w:t>3. По-висок стандарт на защита</w:t>
      </w:r>
    </w:p>
    <w:p>
      <w:pPr>
        <w:spacing w:after="80"/>
      </w:pPr>
      <w:r>
        <w:rPr>
          <w:rFonts w:ascii="Arial" w:hAnsi="Arial"/>
          <w:sz w:val="20"/>
        </w:rPr>
        <w:t>Изисквам също най-високият стандарт на защита да се прилага за всички съществуващи и бъдещи mRNA разрешения срещу инфекциозни заболявания, по-специално относно остатъчна ДНК, качество на партидите, биодистрибуция, дългосрочна безопасност и рискове, свързани с технологията. Изисквам оповестяване на всички документи, от които става ясно защо за mRNA-LNP ваксини срещу инфекциозни заболявания не са приложени същите строги стандарти за защита, изпитване и контрол, както за сравними лекарства на основата на нуклеинови киселини или релевантни за генната терапия.</w:t>
      </w:r>
    </w:p>
    <w:p>
      <w:pPr>
        <w:spacing w:after="80"/>
      </w:pPr>
      <w:r>
        <w:rPr>
          <w:rFonts w:ascii="Arial" w:hAnsi="Arial"/>
          <w:b/>
          <w:sz w:val="20"/>
        </w:rPr>
        <w:t>4. Процедура по член 20 и незабавно спиране</w:t>
      </w:r>
    </w:p>
    <w:p>
      <w:pPr>
        <w:spacing w:after="80"/>
      </w:pPr>
      <w:r>
        <w:rPr>
          <w:rFonts w:ascii="Arial" w:hAnsi="Arial"/>
          <w:sz w:val="20"/>
        </w:rPr>
        <w:t>Изисквам EMA незабавно да започне процедура по член 20 от Регламент (ЕО) № 726/2004 за незабавно спиране на употребата на Comirnaty и Spikevax, както и на сравними mRNA-LNP продукти срещу инфекциозни заболявания. Това трябва да бъде решено въз основа на принципа на предпазливостта, докато всички аспекти на безопасността на тези продукти бъдат достатъчно изяснени. Ако не бъде започнато незабавно спиране на всички mRNA разрешения, изисквам оповестяване на всички документи, от които става ясно защо това не е направено. Това включва например доклади до Европейската комисия, вътрешни оценки, становища, решения и електронни писма между Комисията и EMA.</w:t>
      </w:r>
    </w:p>
    <w:p>
      <w:pPr>
        <w:spacing w:after="80"/>
      </w:pPr>
      <w:r>
        <w:rPr>
          <w:rFonts w:ascii="Arial" w:hAnsi="Arial"/>
          <w:b/>
          <w:sz w:val="20"/>
        </w:rPr>
        <w:t>5. Публично изслушване</w:t>
      </w:r>
    </w:p>
    <w:p>
      <w:pPr>
        <w:spacing w:after="80"/>
      </w:pPr>
      <w:r>
        <w:rPr>
          <w:rFonts w:ascii="Arial" w:hAnsi="Arial"/>
          <w:b/>
          <w:sz w:val="20"/>
        </w:rPr>
        <w:t>6. Публично достъпна база данни</w:t>
      </w:r>
    </w:p>
    <w:p>
      <w:pPr>
        <w:spacing w:after="80"/>
      </w:pPr>
      <w:r>
        <w:rPr>
          <w:rFonts w:ascii="Arial" w:hAnsi="Arial"/>
          <w:sz w:val="20"/>
        </w:rPr>
        <w:t>Изисквам всички мои права по Регламент (ЕО) № 1049/2001 да бъдат спазени и всички оповестени документи, включително документи от други искания, да бъдат предоставени на всички граждани на ЕС в публично достъпна база данни, както EMA вече е посочила.</w:t>
      </w:r>
    </w:p>
    <w:p>
      <w:pPr>
        <w:spacing w:after="80"/>
      </w:pPr>
      <w:r>
        <w:rPr>
          <w:rFonts w:ascii="Arial" w:hAnsi="Arial"/>
          <w:sz w:val="20"/>
        </w:rPr>
        <w:t>Изисквам EMA своевременно да свика изслушване с независими експерти без влияние от фармацевтичната индустрия, EMA и компетентните комитети. Трябва да е възможно онлайн участие в рамките на инициативата Transparency4Safety. Изслушването следва прозрачно да разгледа въпросите за безопасността и качеството, повдигнати от тази инициатива.</w:t>
      </w:r>
    </w:p>
    <w:p>
      <w:pPr>
        <w:spacing w:after="80"/>
      </w:pPr>
      <w:r>
        <w:rPr>
          <w:rFonts w:ascii="Arial" w:hAnsi="Arial"/>
          <w:sz w:val="20"/>
        </w:rPr>
        <w:t>Това искане служи за защита на общественото здраве, принципа на предпазливостта, демократичния контрол и правото на гражданите на ЕС на прозрачност.</w:t>
      </w:r>
    </w:p>
    <w:p>
      <w:pPr>
        <w:spacing w:after="80"/>
      </w:pPr>
      <w:r>
        <w:rPr>
          <w:rFonts w:ascii="Arial" w:hAnsi="Arial"/>
          <w:sz w:val="20"/>
        </w:rPr>
        <w:t>С уважение,</w:t>
        <w:br/>
        <w:t>[Име]</w:t>
      </w:r>
    </w:p>
    <w:p>
      <w:pPr>
        <w:spacing w:after="80"/>
      </w:pPr>
      <w:r>
        <w:rPr>
          <w:rFonts w:ascii="Arial" w:hAnsi="Arial"/>
          <w:sz w:val="20"/>
        </w:rPr>
        <w:t>Инструкции</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